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003664"/>
        <w:spacing w:before="180" w:after="0"/>
        <w:jc w:val="center"/>
        <w:rPr>
          <w:color w:val="FFFFFF"/>
        </w:rPr>
      </w:pPr>
      <w:r>
        <w:rPr>
          <w:rFonts w:cs="Arial"/>
          <w:color w:val="FFFFFF"/>
          <w:sz w:val="21"/>
        </w:rPr>
        <w:t>  </w:t>
      </w:r>
      <w:r>
        <w:rPr>
          <w:rFonts w:cs="Arial"/>
          <w:b/>
          <w:color w:val="FFFFFF"/>
          <w:sz w:val="21"/>
        </w:rPr>
        <w:t>ПРЕЙСКУРАНТ ЦЕН В МЕДИЦИНСКОМ ЦЕНТРЕ</w:t>
      </w:r>
    </w:p>
    <w:p>
      <w:pPr>
        <w:pStyle w:val="Normal"/>
        <w:shd w:val="clear" w:color="auto" w:fill="003664"/>
        <w:spacing w:before="180" w:after="0"/>
        <w:jc w:val="center"/>
        <w:rPr>
          <w:color w:val="FFFFFF"/>
        </w:rPr>
      </w:pPr>
      <w:r>
        <w:rPr>
          <w:rFonts w:cs="Arial"/>
          <w:color w:val="FFFFFF"/>
          <w:sz w:val="21"/>
        </w:rPr>
        <w:t> </w:t>
      </w:r>
      <w:r>
        <w:rPr>
          <w:rFonts w:cs="Arial"/>
          <w:b/>
          <w:color w:val="FFFFFF"/>
          <w:sz w:val="21"/>
        </w:rPr>
        <w:t>"ЗДОРОВАЯ СЕМЬЯ" (ООО "Здоровая семья", от 01.03.2024г)</w:t>
      </w:r>
      <w:r>
        <w:rPr>
          <w:rFonts w:cs="Arial"/>
          <w:color w:val="FFFFFF"/>
          <w:sz w:val="21"/>
        </w:rPr>
        <w:t> </w:t>
      </w:r>
    </w:p>
    <w:p>
      <w:pPr>
        <w:pStyle w:val="Normal"/>
        <w:shd w:val="clear" w:color="auto" w:fill="003664"/>
        <w:spacing w:before="180" w:after="0"/>
        <w:jc w:val="center"/>
        <w:rPr>
          <w:color w:val="FFFFFF"/>
        </w:rPr>
      </w:pPr>
      <w:r>
        <w:rPr>
          <w:rFonts w:cs="Arial"/>
          <w:color w:val="FFFFFF"/>
          <w:sz w:val="21"/>
        </w:rPr>
        <w:t>  </w:t>
      </w:r>
    </w:p>
    <w:p>
      <w:pPr>
        <w:pStyle w:val="Normal"/>
        <w:shd w:val="clear" w:color="auto" w:fill="003664"/>
        <w:spacing w:before="180" w:after="0"/>
        <w:jc w:val="center"/>
        <w:rPr>
          <w:color w:val="FFFFFF"/>
        </w:rPr>
      </w:pPr>
      <w:r>
        <w:rPr>
          <w:rFonts w:cs="Arial"/>
          <w:b/>
          <w:color w:val="FFFFFF"/>
          <w:sz w:val="21"/>
        </w:rPr>
        <w:t>МЕДИЦИНСКИЕ УСЛУГИ</w:t>
      </w:r>
      <w:r>
        <w:rPr>
          <w:rFonts w:cs="Arial"/>
          <w:color w:val="FFFFFF"/>
          <w:sz w:val="21"/>
        </w:rPr>
        <w:t>     </w:t>
      </w:r>
    </w:p>
    <w:p>
      <w:pPr>
        <w:pStyle w:val="Normal"/>
        <w:shd w:val="clear" w:color="auto" w:fill="003664"/>
        <w:spacing w:before="180" w:after="0"/>
        <w:jc w:val="center"/>
        <w:rPr>
          <w:rFonts w:cs="Arial"/>
          <w:color w:val="3366FF"/>
          <w:sz w:val="21"/>
        </w:rPr>
      </w:pPr>
      <w:r>
        <w:rPr>
          <w:rFonts w:cs="Arial"/>
          <w:color w:val="3366FF"/>
          <w:sz w:val="21"/>
        </w:rPr>
        <w:t> </w:t>
      </w:r>
    </w:p>
    <w:tbl>
      <w:tblPr>
        <w:tblW w:w="9396" w:type="dxa"/>
        <w:jc w:val="left"/>
        <w:tblInd w:w="-30" w:type="dxa"/>
        <w:tblLayout w:type="fixed"/>
        <w:tblCellMar>
          <w:top w:w="30" w:type="dxa"/>
          <w:left w:w="10" w:type="dxa"/>
          <w:bottom w:w="30" w:type="dxa"/>
          <w:right w:w="20" w:type="dxa"/>
        </w:tblCellMar>
        <w:tblLook w:firstRow="1" w:noVBand="1" w:lastRow="0" w:firstColumn="1" w:lastColumn="0" w:noHBand="0" w:val="04a0"/>
      </w:tblPr>
      <w:tblGrid>
        <w:gridCol w:w="6703"/>
        <w:gridCol w:w="2692"/>
      </w:tblGrid>
      <w:tr>
        <w:trPr>
          <w:trHeight w:val="645" w:hRule="atLeast"/>
        </w:trPr>
        <w:tc>
          <w:tcPr>
            <w:tcW w:w="6703" w:type="dxa"/>
            <w:tcBorders>
              <w:top w:val="single" w:sz="8" w:space="0" w:color="93A8BE"/>
              <w:left w:val="single" w:sz="8" w:space="0" w:color="93A8BE"/>
              <w:bottom w:val="single" w:sz="8" w:space="0" w:color="93A8BE"/>
              <w:right w:val="single" w:sz="8" w:space="0" w:color="93A8BE"/>
            </w:tcBorders>
          </w:tcPr>
          <w:p>
            <w:pPr>
              <w:pStyle w:val="Normal"/>
              <w:spacing w:lineRule="auto" w:line="240" w:before="15" w:after="0"/>
              <w:ind w:left="600" w:right="600"/>
              <w:jc w:val="center"/>
              <w:rPr>
                <w:rFonts w:cs="Arial"/>
                <w:b/>
                <w:color w:val="000000"/>
                <w:sz w:val="21"/>
              </w:rPr>
            </w:pPr>
            <w:r>
              <w:rPr/>
            </w:r>
          </w:p>
          <w:p>
            <w:pPr>
              <w:pStyle w:val="Normal"/>
              <w:spacing w:lineRule="auto" w:line="240" w:before="15" w:after="0"/>
              <w:ind w:left="600" w:right="600"/>
              <w:jc w:val="center"/>
              <w:rPr>
                <w:rFonts w:cs="Arial"/>
                <w:b/>
                <w:color w:val="000000"/>
                <w:sz w:val="21"/>
              </w:rPr>
            </w:pPr>
            <w:r>
              <w:rPr>
                <w:rFonts w:cs="Arial"/>
                <w:b/>
                <w:color w:val="000000"/>
                <w:sz w:val="21"/>
              </w:rPr>
              <w:t>НАИМЕНОВАНИЕ УСЛУГ</w:t>
            </w:r>
          </w:p>
        </w:tc>
        <w:tc>
          <w:tcPr>
            <w:tcW w:w="2692" w:type="dxa"/>
            <w:tcBorders>
              <w:top w:val="single" w:sz="8" w:space="0" w:color="93A8BE"/>
              <w:bottom w:val="single" w:sz="8" w:space="0" w:color="93A8BE"/>
              <w:right w:val="single" w:sz="8" w:space="0" w:color="93A8BE"/>
            </w:tcBorders>
            <w:tcMar>
              <w:left w:w="25" w:type="dxa"/>
            </w:tcMar>
          </w:tcPr>
          <w:p>
            <w:pPr>
              <w:pStyle w:val="Normal"/>
              <w:spacing w:lineRule="auto" w:line="240" w:before="15" w:after="0"/>
              <w:ind w:left="600" w:right="600"/>
              <w:jc w:val="center"/>
              <w:rPr>
                <w:rFonts w:cs="Arial"/>
                <w:b/>
                <w:color w:val="000000"/>
                <w:sz w:val="21"/>
              </w:rPr>
            </w:pPr>
            <w:r>
              <w:rPr/>
            </w:r>
          </w:p>
          <w:p>
            <w:pPr>
              <w:pStyle w:val="Normal"/>
              <w:spacing w:lineRule="auto" w:line="240" w:before="15" w:after="0"/>
              <w:ind w:left="600" w:right="600"/>
              <w:jc w:val="center"/>
              <w:rPr>
                <w:rFonts w:cs="Arial"/>
                <w:b/>
                <w:color w:val="000000"/>
                <w:sz w:val="21"/>
              </w:rPr>
            </w:pPr>
            <w:r>
              <w:rPr>
                <w:rFonts w:cs="Arial"/>
                <w:b/>
                <w:color w:val="000000"/>
                <w:sz w:val="21"/>
              </w:rPr>
              <w:t>СТОИМОСТЬ (руб.)</w:t>
            </w:r>
          </w:p>
        </w:tc>
      </w:tr>
      <w:tr>
        <w:trPr>
          <w:trHeight w:val="820"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5" w:after="0"/>
              <w:ind w:left="600" w:right="600"/>
              <w:jc w:val="center"/>
              <w:rPr>
                <w:rFonts w:cs="Arial"/>
                <w:b/>
                <w:color w:val="000000"/>
                <w:sz w:val="21"/>
              </w:rPr>
            </w:pPr>
            <w:r>
              <w:rPr/>
            </w:r>
          </w:p>
          <w:p>
            <w:pPr>
              <w:pStyle w:val="Normal"/>
              <w:spacing w:lineRule="auto" w:line="240" w:before="15" w:after="0"/>
              <w:ind w:left="600" w:right="600"/>
              <w:jc w:val="center"/>
              <w:rPr>
                <w:rFonts w:cs="Arial"/>
                <w:b/>
                <w:color w:val="000000"/>
                <w:sz w:val="21"/>
              </w:rPr>
            </w:pPr>
            <w:r>
              <w:rPr>
                <w:rFonts w:cs="Arial"/>
                <w:b/>
                <w:color w:val="000000"/>
                <w:sz w:val="21"/>
              </w:rPr>
              <w:t>ОБСЛЕДОВАНИЕ В ЦЕНТРЕ</w:t>
            </w:r>
          </w:p>
        </w:tc>
      </w:tr>
      <w:tr>
        <w:trPr>
          <w:trHeight w:val="900"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5" w:after="0"/>
              <w:ind w:left="600" w:right="600"/>
              <w:jc w:val="center"/>
              <w:rPr>
                <w:rFonts w:cs="Arial"/>
                <w:b/>
                <w:color w:val="000000"/>
                <w:sz w:val="21"/>
              </w:rPr>
            </w:pPr>
            <w:r>
              <w:rPr/>
            </w:r>
          </w:p>
          <w:p>
            <w:pPr>
              <w:pStyle w:val="Normal"/>
              <w:spacing w:lineRule="auto" w:line="240" w:before="15" w:after="0"/>
              <w:ind w:left="600" w:right="600"/>
              <w:jc w:val="center"/>
              <w:rPr>
                <w:rFonts w:cs="Arial"/>
                <w:b/>
                <w:color w:val="000000"/>
                <w:sz w:val="21"/>
              </w:rPr>
            </w:pPr>
            <w:r>
              <w:rPr>
                <w:rFonts w:cs="Arial"/>
                <w:b/>
                <w:color w:val="000000"/>
                <w:sz w:val="21"/>
              </w:rPr>
              <w:t>КОНСУЛЬТАЦИИ СПЕЦИАЛИСТОВ г. Муром</w:t>
            </w:r>
          </w:p>
        </w:tc>
      </w:tr>
      <w:tr>
        <w:trPr>
          <w:trHeight w:val="1217"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pPr>
            <w:r>
              <w:rPr>
                <w:rFonts w:cs="Arial"/>
                <w:color w:val="000000"/>
                <w:sz w:val="21"/>
              </w:rPr>
              <w:t>Прием врача первичный (педиатр, терапевт)</w:t>
            </w:r>
          </w:p>
          <w:p>
            <w:pPr>
              <w:pStyle w:val="Normal"/>
              <w:spacing w:lineRule="auto" w:line="240" w:before="15" w:after="0"/>
              <w:ind w:left="600" w:right="600"/>
              <w:rPr>
                <w:rFonts w:cs="Arial"/>
                <w:i/>
                <w:i/>
                <w:color w:val="000000"/>
                <w:sz w:val="21"/>
              </w:rPr>
            </w:pPr>
            <w:r>
              <w:rPr>
                <w:rFonts w:cs="Arial"/>
                <w:i/>
                <w:color w:val="000000"/>
                <w:sz w:val="21"/>
              </w:rPr>
              <w:t>(B01.031.001, В01.047.001, В01.026.001)</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pPr>
            <w:r>
              <w:rPr>
                <w:rFonts w:cs="Arial"/>
                <w:color w:val="000000"/>
                <w:sz w:val="21"/>
              </w:rPr>
              <w:t>Прием врача повторный (педиатр, терапевт) в течение 1 месяца</w:t>
            </w:r>
          </w:p>
          <w:p>
            <w:pPr>
              <w:pStyle w:val="Normal"/>
              <w:spacing w:lineRule="auto" w:line="240" w:before="15" w:after="0"/>
              <w:ind w:left="600" w:right="600"/>
              <w:rPr>
                <w:rFonts w:cs="Arial"/>
                <w:i/>
                <w:i/>
                <w:color w:val="000000"/>
                <w:sz w:val="21"/>
              </w:rPr>
            </w:pPr>
            <w:r>
              <w:rPr>
                <w:rFonts w:cs="Arial"/>
                <w:i/>
                <w:color w:val="000000"/>
                <w:sz w:val="21"/>
              </w:rPr>
              <w:t>(B01.031.002, В01.047.002, В01.026.002)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1200,00</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Fonts w:cs="Arial"/>
                <w:color w:val="000000"/>
                <w:sz w:val="21"/>
              </w:rPr>
              <w:t>900,00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pPr>
            <w:r>
              <w:rPr>
                <w:rFonts w:cs="Arial"/>
                <w:color w:val="000000"/>
                <w:sz w:val="21"/>
              </w:rPr>
              <w:t>Прием врача  Кузьминой О.В.</w:t>
            </w:r>
          </w:p>
          <w:p>
            <w:pPr>
              <w:pStyle w:val="Normal"/>
              <w:spacing w:lineRule="auto" w:line="240" w:before="15" w:after="0"/>
              <w:ind w:left="600" w:right="600"/>
              <w:rPr/>
            </w:pPr>
            <w:r>
              <w:rPr>
                <w:rFonts w:cs="Arial"/>
                <w:color w:val="000000"/>
                <w:sz w:val="21"/>
              </w:rPr>
              <w:t>(гастроэнтеролог, врач общей практики)</w:t>
            </w:r>
          </w:p>
          <w:p>
            <w:pPr>
              <w:pStyle w:val="Normal"/>
              <w:spacing w:lineRule="auto" w:line="240" w:before="15" w:after="0"/>
              <w:ind w:left="600" w:right="600"/>
              <w:rPr>
                <w:rFonts w:cs="Arial"/>
                <w:i/>
                <w:i/>
                <w:color w:val="000000"/>
                <w:sz w:val="21"/>
              </w:rPr>
            </w:pPr>
            <w:r>
              <w:rPr>
                <w:rFonts w:cs="Arial"/>
                <w:i/>
                <w:color w:val="000000"/>
                <w:sz w:val="21"/>
              </w:rPr>
              <w:t>(B01.004.001, B01.004.002)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1500,00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врача первичный кардиолога (взрослый)</w:t>
            </w:r>
          </w:p>
          <w:p>
            <w:pPr>
              <w:pStyle w:val="Normal"/>
              <w:spacing w:lineRule="auto" w:line="240" w:before="15" w:after="0"/>
              <w:ind w:left="600" w:right="600"/>
              <w:rPr>
                <w:rFonts w:cs="Arial"/>
                <w:i/>
                <w:i/>
                <w:color w:val="000000"/>
                <w:sz w:val="21"/>
              </w:rPr>
            </w:pPr>
            <w:r>
              <w:rPr>
                <w:rFonts w:cs="Arial"/>
                <w:i/>
                <w:color w:val="000000"/>
                <w:sz w:val="21"/>
              </w:rPr>
              <w:t>(B01.015.001)</w:t>
            </w:r>
          </w:p>
          <w:p>
            <w:pPr>
              <w:pStyle w:val="Normal"/>
              <w:spacing w:lineRule="auto" w:line="240" w:before="15" w:after="0"/>
              <w:ind w:right="600"/>
              <w:rPr>
                <w:rFonts w:cs="Arial"/>
                <w:i/>
                <w:i/>
                <w:color w:val="000000"/>
                <w:sz w:val="21"/>
              </w:rPr>
            </w:pPr>
            <w:r>
              <w:rPr>
                <w:rFonts w:cs="Arial"/>
                <w:i/>
                <w:color w:val="000000"/>
                <w:sz w:val="21"/>
              </w:rPr>
            </w:r>
          </w:p>
          <w:p>
            <w:pPr>
              <w:pStyle w:val="Normal"/>
              <w:spacing w:lineRule="auto" w:line="240" w:before="15" w:after="0"/>
              <w:ind w:left="600" w:right="600"/>
              <w:rPr>
                <w:rFonts w:cs="Arial"/>
                <w:color w:val="000000"/>
                <w:sz w:val="21"/>
              </w:rPr>
            </w:pPr>
            <w:r>
              <w:rPr>
                <w:rFonts w:cs="Arial"/>
                <w:color w:val="000000"/>
                <w:sz w:val="21"/>
              </w:rPr>
              <w:t>Прием врача кардиолога (взрослый) повторный в течение 3 месяцев</w:t>
            </w:r>
          </w:p>
          <w:p>
            <w:pPr>
              <w:pStyle w:val="Normal"/>
              <w:spacing w:lineRule="auto" w:line="240" w:before="15" w:after="0"/>
              <w:ind w:left="600" w:right="600"/>
              <w:rPr>
                <w:rFonts w:cs="Arial"/>
                <w:i/>
                <w:i/>
                <w:color w:val="000000"/>
                <w:sz w:val="21"/>
              </w:rPr>
            </w:pPr>
            <w:r>
              <w:rPr>
                <w:rFonts w:cs="Arial"/>
                <w:i/>
                <w:color w:val="000000"/>
                <w:sz w:val="21"/>
              </w:rPr>
              <w:t>(B01.015.002)</w:t>
            </w:r>
          </w:p>
          <w:p>
            <w:pPr>
              <w:pStyle w:val="Normal"/>
              <w:spacing w:lineRule="auto" w:line="240" w:before="15" w:after="0"/>
              <w:ind w:left="600" w:right="600"/>
              <w:rPr>
                <w:rFonts w:cs="Arial"/>
                <w:i/>
                <w:i/>
                <w:color w:val="000000"/>
                <w:sz w:val="21"/>
              </w:rPr>
            </w:pPr>
            <w:r>
              <w:rPr>
                <w:rFonts w:cs="Arial"/>
                <w:i/>
                <w:color w:val="000000"/>
                <w:sz w:val="21"/>
              </w:rPr>
            </w:r>
          </w:p>
          <w:p>
            <w:pPr>
              <w:pStyle w:val="Normal"/>
              <w:spacing w:lineRule="auto" w:line="240" w:before="15" w:after="0"/>
              <w:ind w:left="600" w:right="600"/>
              <w:rPr/>
            </w:pPr>
            <w:r>
              <w:rPr>
                <w:rFonts w:cs="Arial"/>
                <w:color w:val="000000"/>
                <w:sz w:val="21"/>
              </w:rPr>
              <w:t xml:space="preserve">Комплексный прием кардиолога (консультация + УЗИ сердца) </w:t>
            </w:r>
            <w:r>
              <w:rPr>
                <w:rFonts w:cs="Arial"/>
                <w:i/>
                <w:color w:val="000000"/>
                <w:sz w:val="21"/>
              </w:rPr>
              <w:t xml:space="preserve"> (B01.015.001, А04.10.002)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1500,00</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Fonts w:cs="Arial"/>
                <w:color w:val="000000"/>
                <w:sz w:val="21"/>
              </w:rPr>
              <w:t>1200,00</w:t>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t>2500,00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врача первичный кардиолога (взрослый) Комарова А.В.</w:t>
            </w:r>
          </w:p>
          <w:p>
            <w:pPr>
              <w:pStyle w:val="Normal"/>
              <w:spacing w:lineRule="auto" w:line="240" w:before="15" w:after="0"/>
              <w:ind w:left="600" w:right="600"/>
              <w:rPr>
                <w:rFonts w:cs="Arial"/>
                <w:i/>
                <w:i/>
                <w:color w:val="000000"/>
                <w:sz w:val="21"/>
              </w:rPr>
            </w:pPr>
            <w:r>
              <w:rPr>
                <w:rFonts w:cs="Arial"/>
                <w:i/>
                <w:color w:val="000000"/>
                <w:sz w:val="21"/>
              </w:rPr>
              <w:t>(B01.015.001)</w:t>
            </w:r>
          </w:p>
          <w:p>
            <w:pPr>
              <w:pStyle w:val="Normal"/>
              <w:spacing w:lineRule="auto" w:line="240" w:before="15" w:after="0"/>
              <w:ind w:right="600"/>
              <w:rPr>
                <w:rFonts w:cs="Arial"/>
                <w:i/>
                <w:i/>
                <w:color w:val="000000"/>
                <w:sz w:val="21"/>
              </w:rPr>
            </w:pPr>
            <w:r>
              <w:rPr>
                <w:rFonts w:cs="Arial"/>
                <w:i/>
                <w:color w:val="000000"/>
                <w:sz w:val="21"/>
              </w:rPr>
            </w:r>
          </w:p>
          <w:p>
            <w:pPr>
              <w:pStyle w:val="Normal"/>
              <w:spacing w:lineRule="auto" w:line="240" w:before="15" w:after="0"/>
              <w:ind w:left="600" w:right="600"/>
              <w:rPr>
                <w:rFonts w:cs="Arial"/>
                <w:color w:val="000000"/>
                <w:sz w:val="21"/>
              </w:rPr>
            </w:pPr>
            <w:r>
              <w:rPr>
                <w:rFonts w:cs="Arial"/>
                <w:color w:val="000000"/>
                <w:sz w:val="21"/>
              </w:rPr>
              <w:t>Прием врача кардиолога (взрослый) Комарова А.В.  повторный в течение 3 месяцев</w:t>
            </w:r>
          </w:p>
          <w:p>
            <w:pPr>
              <w:pStyle w:val="Normal"/>
              <w:spacing w:lineRule="auto" w:line="240" w:before="15" w:after="0"/>
              <w:ind w:left="600" w:right="600"/>
              <w:rPr>
                <w:rFonts w:cs="Arial"/>
                <w:color w:val="000000"/>
                <w:sz w:val="21"/>
              </w:rPr>
            </w:pPr>
            <w:r>
              <w:rPr>
                <w:rFonts w:cs="Arial"/>
                <w:i/>
                <w:color w:val="000000"/>
                <w:sz w:val="21"/>
              </w:rPr>
              <w:t>(B01.015.002)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2000,00</w:t>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t>1600,00</w:t>
            </w:r>
          </w:p>
        </w:tc>
      </w:tr>
      <w:tr>
        <w:trPr>
          <w:trHeight w:val="15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врача-специалиста первичный (невролог взрослый и детский, гастроэнтеролог, эндокринолог взрослый и детский, дерматолог взрослый и детский,ревматолог взрослый, андролог взрослый, психиатр взрослый и детский, онколога, травматолога-ортопеда, детского хирурга и др.)</w:t>
            </w:r>
          </w:p>
          <w:p>
            <w:pPr>
              <w:pStyle w:val="Normal"/>
              <w:spacing w:lineRule="auto" w:line="240" w:before="15" w:after="0"/>
              <w:ind w:left="600" w:right="600"/>
              <w:rPr>
                <w:rFonts w:cs="Arial"/>
                <w:i/>
                <w:i/>
                <w:color w:val="000000"/>
                <w:sz w:val="21"/>
              </w:rPr>
            </w:pPr>
            <w:r>
              <w:rPr>
                <w:rFonts w:cs="Arial"/>
                <w:i/>
                <w:color w:val="000000"/>
                <w:sz w:val="21"/>
              </w:rPr>
              <w:t>(B01.023.001, В01.058.001, В01.058.003, В01.008.001, В01.040.001, В01.035.001, В01.035.003, В01.001.001,</w:t>
            </w:r>
          </w:p>
          <w:p>
            <w:pPr>
              <w:pStyle w:val="Normal"/>
              <w:spacing w:lineRule="auto" w:line="240" w:before="15" w:after="0"/>
              <w:ind w:left="600" w:right="600"/>
              <w:rPr>
                <w:rFonts w:cs="Arial"/>
                <w:i/>
                <w:i/>
                <w:color w:val="000000"/>
                <w:sz w:val="21"/>
              </w:rPr>
            </w:pPr>
            <w:r>
              <w:rPr>
                <w:rFonts w:cs="Arial"/>
                <w:i/>
                <w:color w:val="000000"/>
                <w:sz w:val="21"/>
              </w:rPr>
              <w:t>В01.050.001, В01.010.001)</w:t>
            </w:r>
          </w:p>
          <w:p>
            <w:pPr>
              <w:pStyle w:val="Normal"/>
              <w:spacing w:lineRule="auto" w:line="240" w:before="15" w:after="0"/>
              <w:ind w:left="600" w:right="600"/>
              <w:rPr>
                <w:rFonts w:cs="Arial"/>
                <w:i/>
                <w:i/>
                <w:color w:val="000000"/>
                <w:sz w:val="21"/>
              </w:rPr>
            </w:pPr>
            <w:r>
              <w:rPr>
                <w:rFonts w:cs="Arial"/>
                <w:i/>
                <w:color w:val="000000"/>
                <w:sz w:val="21"/>
              </w:rPr>
            </w:r>
          </w:p>
          <w:p>
            <w:pPr>
              <w:pStyle w:val="Normal"/>
              <w:spacing w:lineRule="auto" w:line="240" w:before="15" w:after="0"/>
              <w:ind w:left="600" w:right="600"/>
              <w:rPr>
                <w:rFonts w:cs="Arial"/>
                <w:color w:val="000000"/>
                <w:sz w:val="21"/>
              </w:rPr>
            </w:pPr>
            <w:r>
              <w:rPr>
                <w:rFonts w:cs="Arial"/>
                <w:color w:val="000000"/>
                <w:sz w:val="21"/>
              </w:rPr>
              <w:t>Прием врача-специалиста повторный в течение 3 месяцев</w:t>
            </w:r>
          </w:p>
          <w:p>
            <w:pPr>
              <w:pStyle w:val="Normal"/>
              <w:spacing w:lineRule="auto" w:line="240" w:before="15" w:after="0"/>
              <w:ind w:left="600" w:right="600"/>
              <w:rPr>
                <w:rFonts w:cs="Arial"/>
                <w:color w:val="000000"/>
                <w:sz w:val="21"/>
              </w:rPr>
            </w:pPr>
            <w:r>
              <w:rPr>
                <w:rFonts w:cs="Arial"/>
                <w:color w:val="000000"/>
                <w:sz w:val="21"/>
              </w:rPr>
              <w:t>от первичного приема</w:t>
            </w:r>
          </w:p>
          <w:p>
            <w:pPr>
              <w:pStyle w:val="Normal"/>
              <w:spacing w:lineRule="auto" w:line="240" w:before="15" w:after="0"/>
              <w:ind w:left="600" w:right="600"/>
              <w:rPr>
                <w:rFonts w:cs="Arial"/>
                <w:i/>
                <w:i/>
                <w:color w:val="000000"/>
                <w:sz w:val="21"/>
              </w:rPr>
            </w:pPr>
            <w:r>
              <w:rPr>
                <w:rFonts w:cs="Arial"/>
                <w:i/>
                <w:color w:val="000000"/>
                <w:sz w:val="21"/>
              </w:rPr>
              <w:t>(B01.023.002, В01.058.002, В01.058.004, В01.008.002, В01.040.002, В01.035.002, В01.035.004, В01.001.002,</w:t>
            </w:r>
          </w:p>
          <w:p>
            <w:pPr>
              <w:pStyle w:val="Normal"/>
              <w:spacing w:lineRule="auto" w:line="240" w:before="15" w:after="0"/>
              <w:ind w:left="600" w:right="600"/>
              <w:rPr>
                <w:rFonts w:cs="Arial"/>
                <w:i/>
                <w:i/>
                <w:color w:val="000000"/>
                <w:sz w:val="21"/>
              </w:rPr>
            </w:pPr>
            <w:r>
              <w:rPr>
                <w:rFonts w:cs="Arial"/>
                <w:i/>
                <w:color w:val="000000"/>
                <w:sz w:val="21"/>
              </w:rPr>
              <w:t>В01.050.002, В01.010.002)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1200,00</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Fonts w:cs="Arial"/>
                <w:color w:val="000000"/>
                <w:sz w:val="21"/>
              </w:rPr>
              <w:t>900,00</w:t>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r>
          </w:p>
        </w:tc>
      </w:tr>
      <w:tr>
        <w:trPr>
          <w:trHeight w:val="859"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врача-диетолога (1 час)</w:t>
            </w:r>
          </w:p>
          <w:p>
            <w:pPr>
              <w:pStyle w:val="Normal"/>
              <w:spacing w:lineRule="auto" w:line="240" w:before="15" w:after="0"/>
              <w:ind w:left="600" w:right="600"/>
              <w:rPr>
                <w:rFonts w:cs="Arial"/>
                <w:i/>
                <w:i/>
                <w:color w:val="000000"/>
                <w:sz w:val="21"/>
              </w:rPr>
            </w:pPr>
            <w:r>
              <w:rPr>
                <w:rFonts w:cs="Arial"/>
                <w:i/>
                <w:color w:val="000000"/>
                <w:sz w:val="21"/>
              </w:rPr>
              <w:t>(B01.013.001, В01.013.002)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1800,00</w:t>
            </w:r>
          </w:p>
        </w:tc>
      </w:tr>
      <w:tr>
        <w:trPr>
          <w:trHeight w:val="859"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врача-нефролога первичный</w:t>
            </w:r>
          </w:p>
          <w:p>
            <w:pPr>
              <w:pStyle w:val="Normal"/>
              <w:spacing w:lineRule="auto" w:line="240" w:before="15" w:after="0"/>
              <w:ind w:left="600" w:right="600"/>
              <w:rPr>
                <w:rFonts w:cs="Arial"/>
                <w:color w:val="000000"/>
                <w:sz w:val="21"/>
              </w:rPr>
            </w:pPr>
            <w:r>
              <w:rPr>
                <w:rFonts w:cs="Arial"/>
                <w:i/>
                <w:color w:val="000000"/>
                <w:sz w:val="21"/>
              </w:rPr>
              <w:t>(B01.025.001)</w:t>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t>Прием врача-нефролога повторный в течение 3 месяцев</w:t>
            </w:r>
          </w:p>
          <w:p>
            <w:pPr>
              <w:pStyle w:val="Normal"/>
              <w:spacing w:lineRule="auto" w:line="240" w:before="15" w:after="0"/>
              <w:ind w:left="600" w:right="600"/>
              <w:rPr>
                <w:rFonts w:cs="Arial"/>
                <w:color w:val="000000"/>
                <w:sz w:val="21"/>
              </w:rPr>
            </w:pPr>
            <w:r>
              <w:rPr>
                <w:rFonts w:cs="Arial"/>
                <w:i/>
                <w:color w:val="000000"/>
                <w:sz w:val="21"/>
              </w:rPr>
              <w:t>(B01.025.002)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1300,00</w:t>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r>
          </w:p>
          <w:p>
            <w:pPr>
              <w:pStyle w:val="Normal"/>
              <w:spacing w:lineRule="auto" w:line="240" w:before="15" w:after="0"/>
              <w:ind w:left="600" w:right="600"/>
              <w:rPr>
                <w:rFonts w:cs="Arial"/>
                <w:color w:val="000000"/>
                <w:sz w:val="21"/>
              </w:rPr>
            </w:pPr>
            <w:r>
              <w:rPr>
                <w:rFonts w:cs="Arial"/>
                <w:color w:val="000000"/>
                <w:sz w:val="21"/>
              </w:rPr>
              <w:t>1100,00</w:t>
            </w:r>
          </w:p>
        </w:tc>
      </w:tr>
      <w:tr>
        <w:trPr>
          <w:trHeight w:val="1132"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иногороднего специалиста первичный</w:t>
            </w:r>
          </w:p>
          <w:p>
            <w:pPr>
              <w:pStyle w:val="Normal"/>
              <w:spacing w:lineRule="auto" w:line="240" w:before="15" w:after="0"/>
              <w:ind w:left="600" w:right="600"/>
              <w:rPr>
                <w:rFonts w:cs="Arial"/>
                <w:i/>
                <w:i/>
                <w:color w:val="000000"/>
                <w:sz w:val="21"/>
              </w:rPr>
            </w:pPr>
            <w:r>
              <w:rPr>
                <w:rFonts w:cs="Arial"/>
                <w:i/>
                <w:color w:val="000000"/>
                <w:sz w:val="21"/>
              </w:rPr>
              <w:t>(B01.023.001, В01.058.001, В01.058.003, В01.027.001, В01.001.001, В01.057.001)</w:t>
            </w:r>
          </w:p>
          <w:p>
            <w:pPr>
              <w:pStyle w:val="Normal"/>
              <w:spacing w:lineRule="auto" w:line="240" w:before="15" w:after="0"/>
              <w:ind w:left="120" w:right="600"/>
              <w:rPr>
                <w:rFonts w:cs="Arial"/>
                <w:color w:val="000000"/>
                <w:sz w:val="21"/>
              </w:rPr>
            </w:pPr>
            <w:r>
              <w:rPr/>
            </w:r>
          </w:p>
          <w:p>
            <w:pPr>
              <w:pStyle w:val="Normal"/>
              <w:spacing w:lineRule="auto" w:line="240" w:before="15" w:after="0"/>
              <w:ind w:left="600" w:right="600"/>
              <w:rPr>
                <w:rFonts w:cs="Arial"/>
                <w:color w:val="000000"/>
                <w:sz w:val="21"/>
              </w:rPr>
            </w:pPr>
            <w:r>
              <w:rPr>
                <w:rFonts w:cs="Arial"/>
                <w:color w:val="000000"/>
                <w:sz w:val="21"/>
              </w:rPr>
              <w:t>Прием иногороднего специалиста повторный в течение 3 месяцев</w:t>
            </w:r>
          </w:p>
          <w:p>
            <w:pPr>
              <w:pStyle w:val="Normal"/>
              <w:spacing w:lineRule="auto" w:line="240" w:before="15" w:after="0"/>
              <w:ind w:left="600" w:right="600"/>
              <w:rPr>
                <w:rFonts w:cs="Arial"/>
                <w:i/>
                <w:i/>
                <w:color w:val="000000"/>
                <w:sz w:val="21"/>
              </w:rPr>
            </w:pPr>
            <w:r>
              <w:rPr>
                <w:rFonts w:cs="Arial"/>
                <w:i/>
                <w:color w:val="000000"/>
                <w:sz w:val="21"/>
              </w:rPr>
              <w:t>(B01.023.002, В01.058.002, В01.058.004, В01.027.002, В01.001.002, В01.057.002)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2000,00</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pPr>
            <w:r>
              <w:rPr>
                <w:rFonts w:cs="Arial"/>
                <w:color w:val="000000"/>
                <w:sz w:val="21"/>
              </w:rPr>
              <w:t>1600,00</w:t>
            </w:r>
          </w:p>
        </w:tc>
      </w:tr>
      <w:tr>
        <w:trPr>
          <w:trHeight w:val="512"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иногородних специалистов - врача онколога-маммолога Канаева О.В.</w:t>
            </w:r>
          </w:p>
          <w:p>
            <w:pPr>
              <w:pStyle w:val="Normal"/>
              <w:spacing w:lineRule="auto" w:line="240" w:before="15" w:after="0"/>
              <w:ind w:left="600" w:right="600"/>
              <w:rPr>
                <w:rFonts w:cs="Arial"/>
                <w:i/>
                <w:i/>
                <w:color w:val="000000"/>
                <w:sz w:val="21"/>
              </w:rPr>
            </w:pPr>
            <w:r>
              <w:rPr>
                <w:rFonts w:cs="Arial"/>
                <w:i/>
                <w:color w:val="000000"/>
                <w:sz w:val="21"/>
              </w:rPr>
              <w:t>(B01.027.001, В01.027.002)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2200,00</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
          </w:p>
        </w:tc>
      </w:tr>
      <w:tr>
        <w:trPr>
          <w:trHeight w:val="1159"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Прием врача педиатра, терапевта и врача общей практики профилактический - справка для садика, школы ,бассейна, заключения ВКК (о труде, о физкультурной группе ,о направление в другое лечебное учреждение и др).</w:t>
            </w:r>
          </w:p>
          <w:p>
            <w:pPr>
              <w:pStyle w:val="Normal"/>
              <w:spacing w:lineRule="auto" w:line="240" w:before="15" w:after="0"/>
              <w:ind w:left="600" w:right="600"/>
              <w:rPr>
                <w:rFonts w:cs="Arial"/>
                <w:i/>
                <w:i/>
                <w:color w:val="000000"/>
                <w:sz w:val="21"/>
              </w:rPr>
            </w:pPr>
            <w:r>
              <w:rPr>
                <w:rFonts w:cs="Arial"/>
                <w:i/>
                <w:color w:val="000000"/>
                <w:sz w:val="21"/>
              </w:rPr>
              <w:t>(B04.031.001, В04.047.002, В04.026.002)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240" w:right="600"/>
              <w:rPr/>
            </w:pPr>
            <w:r>
              <w:rPr>
                <w:rFonts w:cs="Arial"/>
                <w:color w:val="000000"/>
                <w:sz w:val="21"/>
              </w:rPr>
              <w:t xml:space="preserve">     </w:t>
            </w:r>
            <w:r>
              <w:rPr>
                <w:rFonts w:cs="Arial"/>
                <w:color w:val="000000"/>
                <w:sz w:val="21"/>
              </w:rPr>
              <w:t>900,00</w:t>
            </w:r>
          </w:p>
        </w:tc>
      </w:tr>
      <w:tr>
        <w:trPr>
          <w:trHeight w:val="638"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Консультация врача по биоимпедансному исследованию</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500,00</w:t>
            </w:r>
          </w:p>
        </w:tc>
      </w:tr>
      <w:tr>
        <w:trPr>
          <w:trHeight w:val="94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pPr>
            <w:r>
              <w:rPr>
                <w:rFonts w:cs="Arial"/>
                <w:color w:val="000000"/>
                <w:sz w:val="21"/>
              </w:rPr>
              <w:t>Оформление санаторно-курортной карты </w:t>
            </w:r>
            <w:r>
              <w:rPr>
                <w:rFonts w:cs="Arial"/>
                <w:i/>
                <w:color w:val="000000"/>
                <w:sz w:val="21"/>
              </w:rPr>
              <w:t>(076)</w:t>
            </w:r>
            <w:r>
              <w:rPr>
                <w:rFonts w:cs="Arial"/>
                <w:color w:val="000000"/>
                <w:sz w:val="21"/>
              </w:rPr>
              <w:t> и справки для получения путевки </w:t>
            </w:r>
            <w:r>
              <w:rPr>
                <w:rFonts w:cs="Arial"/>
                <w:i/>
                <w:color w:val="000000"/>
                <w:sz w:val="21"/>
              </w:rPr>
              <w:t>(072)</w:t>
            </w:r>
            <w:r>
              <w:rPr>
                <w:rFonts w:cs="Arial"/>
                <w:color w:val="000000"/>
                <w:sz w:val="21"/>
              </w:rPr>
              <w:t> (со стоимостью приема врача педиатра, терапевта и ВОПа) </w:t>
            </w:r>
            <w:r>
              <w:rPr>
                <w:rFonts w:cs="Arial"/>
                <w:i/>
                <w:color w:val="000000"/>
                <w:sz w:val="21"/>
              </w:rPr>
              <w:t>(079/У)</w:t>
            </w:r>
          </w:p>
          <w:p>
            <w:pPr>
              <w:pStyle w:val="Normal"/>
              <w:spacing w:lineRule="auto" w:line="240" w:before="15" w:after="0"/>
              <w:ind w:left="600" w:right="600"/>
              <w:rPr>
                <w:rFonts w:cs="Arial"/>
                <w:i/>
                <w:i/>
                <w:color w:val="000000"/>
                <w:sz w:val="21"/>
              </w:rPr>
            </w:pPr>
            <w:r>
              <w:rPr>
                <w:rFonts w:cs="Arial"/>
                <w:i/>
                <w:color w:val="000000"/>
                <w:sz w:val="21"/>
              </w:rPr>
              <w:t>(B04.031.001, В04.047.002, В04.026.002)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1500,00</w:t>
            </w:r>
          </w:p>
        </w:tc>
      </w:tr>
      <w:tr>
        <w:trPr>
          <w:trHeight w:val="75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Подготовка документов и направления для госпитализации (без стоимости консультации врача)</w:t>
            </w:r>
          </w:p>
          <w:p>
            <w:pPr>
              <w:pStyle w:val="Normal"/>
              <w:spacing w:lineRule="auto" w:line="240" w:before="15" w:after="0"/>
              <w:ind w:left="600" w:right="600"/>
              <w:rPr>
                <w:rFonts w:cs="Arial"/>
                <w:i/>
                <w:i/>
                <w:color w:val="000000"/>
                <w:sz w:val="21"/>
              </w:rPr>
            </w:pPr>
            <w:r>
              <w:rPr>
                <w:rFonts w:cs="Arial"/>
                <w:i/>
                <w:color w:val="000000"/>
                <w:sz w:val="21"/>
              </w:rPr>
              <w:t>(B01.002.001)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1000,00</w:t>
            </w:r>
          </w:p>
        </w:tc>
      </w:tr>
      <w:tr>
        <w:trPr>
          <w:trHeight w:val="53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Оформление посыльного листа для МСЭ</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2000,00</w:t>
            </w:r>
          </w:p>
        </w:tc>
      </w:tr>
      <w:tr>
        <w:trPr>
          <w:trHeight w:val="75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Подготовка документов для получения квоты на ЭКО (без стоимости консультации врача)</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3000,00</w:t>
            </w:r>
          </w:p>
        </w:tc>
      </w:tr>
      <w:tr>
        <w:trPr>
          <w:trHeight w:val="75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Оформление индивидуальной карты ребенка, поступающего в ДДУ</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Оформление листа нетрудоспособности (со стоимостью осмотров врачом)</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4000,00</w:t>
            </w:r>
          </w:p>
        </w:tc>
      </w:tr>
      <w:tr>
        <w:trPr>
          <w:trHeight w:val="678" w:hRule="atLeast"/>
        </w:trPr>
        <w:tc>
          <w:tcPr>
            <w:tcW w:w="9395" w:type="dxa"/>
            <w:gridSpan w:val="2"/>
            <w:tcBorders>
              <w:left w:val="single" w:sz="8" w:space="0" w:color="93A8BE"/>
              <w:bottom w:val="single" w:sz="8" w:space="0" w:color="93A8BE"/>
              <w:right w:val="single" w:sz="8" w:space="0" w:color="000001"/>
            </w:tcBorders>
          </w:tcPr>
          <w:p>
            <w:pPr>
              <w:pStyle w:val="Normal"/>
              <w:spacing w:lineRule="auto" w:line="240" w:before="15" w:after="0"/>
              <w:ind w:right="600"/>
              <w:rPr/>
            </w:pPr>
            <w:r>
              <w:rPr/>
            </w:r>
          </w:p>
          <w:p>
            <w:pPr>
              <w:pStyle w:val="Normal"/>
              <w:spacing w:lineRule="auto" w:line="240" w:before="15" w:after="0"/>
              <w:ind w:right="600"/>
              <w:rPr/>
            </w:pPr>
            <w:r>
              <w:rPr/>
            </w:r>
          </w:p>
          <w:p>
            <w:pPr>
              <w:pStyle w:val="Normal"/>
              <w:spacing w:lineRule="auto" w:line="240" w:before="15" w:after="0"/>
              <w:ind w:left="600" w:right="600"/>
              <w:jc w:val="center"/>
              <w:rPr>
                <w:rFonts w:cs="Arial"/>
                <w:b/>
                <w:color w:val="000000"/>
                <w:sz w:val="21"/>
              </w:rPr>
            </w:pPr>
            <w:r>
              <w:rPr>
                <w:rFonts w:cs="Arial"/>
                <w:b/>
                <w:color w:val="000000"/>
                <w:sz w:val="21"/>
              </w:rPr>
              <w:t>ЛЕЧЕБНО-ДИАГНОСТИЧЕСКИЕ ПРОЦЕДУРЫ</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Биоимпедансное исследование.</w:t>
            </w:r>
          </w:p>
          <w:p>
            <w:pPr>
              <w:pStyle w:val="Normal"/>
              <w:spacing w:lineRule="auto" w:line="240" w:before="15" w:after="0"/>
              <w:ind w:left="600" w:right="600"/>
              <w:rPr>
                <w:rFonts w:cs="Arial"/>
                <w:i/>
                <w:i/>
                <w:color w:val="000000"/>
                <w:sz w:val="21"/>
              </w:rPr>
            </w:pPr>
            <w:r>
              <w:rPr>
                <w:rFonts w:cs="Arial"/>
                <w:i/>
                <w:color w:val="000000"/>
                <w:sz w:val="21"/>
              </w:rPr>
              <w:t>(А05.30.014)</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 xml:space="preserve">Тональная аудиометрия </w:t>
            </w:r>
            <w:r>
              <w:rPr>
                <w:rFonts w:cs="Arial"/>
                <w:i/>
                <w:color w:val="000000"/>
                <w:sz w:val="21"/>
              </w:rPr>
              <w:t>(А12.25.001)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АСИТ (аллергенспецифическая иммунотерапия аллергенами подкожная)</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Кожные скарификационные пробы 1 аллерген</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400,00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lang w:val="en-US"/>
              </w:rPr>
              <w:t>PRP</w:t>
            </w:r>
            <w:r>
              <w:rPr>
                <w:rFonts w:cs="Arial"/>
                <w:color w:val="000000"/>
                <w:sz w:val="21"/>
              </w:rPr>
              <w:t>-терапия волосистой части головы, 1 процедура (1 пробирка)</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4000,00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Проведение спинальных блокад со стоимостью лекарственных средств</w:t>
            </w:r>
          </w:p>
          <w:p>
            <w:pPr>
              <w:pStyle w:val="Normal"/>
              <w:spacing w:lineRule="auto" w:line="240" w:before="15" w:after="0"/>
              <w:ind w:left="600" w:right="600"/>
              <w:rPr>
                <w:rFonts w:cs="Arial"/>
                <w:i/>
                <w:i/>
                <w:color w:val="000000"/>
                <w:sz w:val="21"/>
              </w:rPr>
            </w:pPr>
            <w:r>
              <w:rPr>
                <w:rFonts w:cs="Arial"/>
                <w:i/>
                <w:color w:val="000000"/>
                <w:sz w:val="21"/>
              </w:rPr>
              <w:t>(B01.003.004.007)</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pPr>
            <w:r>
              <w:rPr>
                <w:rFonts w:cs="Arial"/>
                <w:color w:val="000000"/>
                <w:sz w:val="21"/>
              </w:rPr>
              <w:t>3500,00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Пункционная биопсия молочной железы, щитовидной железы, суставов (без стоимости исследования материала)</w:t>
            </w:r>
          </w:p>
          <w:p>
            <w:pPr>
              <w:pStyle w:val="Normal"/>
              <w:spacing w:lineRule="auto" w:line="240" w:before="15" w:after="0"/>
              <w:ind w:left="600" w:right="600"/>
              <w:rPr>
                <w:rFonts w:cs="Arial"/>
                <w:i/>
                <w:i/>
                <w:color w:val="000000"/>
                <w:sz w:val="21"/>
              </w:rPr>
            </w:pPr>
            <w:r>
              <w:rPr>
                <w:rFonts w:cs="Arial"/>
                <w:i/>
                <w:color w:val="000000"/>
                <w:sz w:val="21"/>
              </w:rPr>
              <w:t>(А11.22.001)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Цитология стекло (до 5 стекол)</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(А08.20.017, А08.20.013)</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800,00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Цитология пробирка</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(А08.20.004)</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highlight w:val="white"/>
              </w:rPr>
            </w:pPr>
            <w:r>
              <w:rPr>
                <w:rFonts w:cs="Arial"/>
                <w:color w:val="000000"/>
                <w:sz w:val="21"/>
                <w:highlight w:val="white"/>
              </w:rPr>
              <w:t>1500,00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240" w:right="600"/>
              <w:rPr>
                <w:rFonts w:cs="Arial"/>
                <w:color w:val="000000"/>
                <w:sz w:val="21"/>
                <w:highlight w:val="white"/>
              </w:rPr>
            </w:pPr>
            <w:r>
              <w:rPr>
                <w:rFonts w:cs="Arial"/>
                <w:color w:val="000000"/>
                <w:sz w:val="21"/>
                <w:highlight w:val="white"/>
              </w:rPr>
              <w:t xml:space="preserve">     </w:t>
            </w:r>
            <w:r>
              <w:rPr>
                <w:rFonts w:cs="Arial"/>
                <w:color w:val="000000"/>
                <w:sz w:val="21"/>
                <w:highlight w:val="white"/>
              </w:rPr>
              <w:t>Перевязка послеоперационных ран (простая)</w:t>
            </w:r>
          </w:p>
          <w:p>
            <w:pPr>
              <w:pStyle w:val="Normal"/>
              <w:spacing w:lineRule="auto" w:line="240" w:before="15" w:after="0"/>
              <w:ind w:left="240" w:right="600"/>
              <w:rPr>
                <w:rFonts w:cs="Arial"/>
                <w:i/>
                <w:i/>
                <w:color w:val="000000"/>
                <w:sz w:val="21"/>
                <w:highlight w:val="white"/>
              </w:rPr>
            </w:pPr>
            <w:r>
              <w:rPr>
                <w:rFonts w:cs="Arial"/>
                <w:i/>
                <w:color w:val="000000"/>
                <w:sz w:val="21"/>
                <w:highlight w:val="white"/>
              </w:rPr>
              <w:t xml:space="preserve">     </w:t>
            </w:r>
            <w:r>
              <w:rPr>
                <w:rFonts w:cs="Arial"/>
                <w:i/>
                <w:color w:val="000000"/>
                <w:sz w:val="21"/>
                <w:highlight w:val="white"/>
              </w:rPr>
              <w:t>(А15.01.001)</w:t>
            </w:r>
          </w:p>
          <w:p>
            <w:pPr>
              <w:pStyle w:val="Normal"/>
              <w:spacing w:lineRule="auto" w:line="240" w:before="15" w:after="0"/>
              <w:ind w:left="240" w:right="600"/>
              <w:rPr>
                <w:rFonts w:cs="Arial"/>
                <w:color w:val="000000"/>
                <w:sz w:val="21"/>
                <w:highlight w:val="white"/>
              </w:rPr>
            </w:pPr>
            <w:r>
              <w:rPr/>
            </w:r>
          </w:p>
          <w:p>
            <w:pPr>
              <w:pStyle w:val="Normal"/>
              <w:spacing w:lineRule="auto" w:line="240" w:before="15" w:after="0"/>
              <w:ind w:left="240" w:right="600"/>
              <w:rPr>
                <w:rFonts w:cs="Arial"/>
                <w:color w:val="000000"/>
                <w:sz w:val="21"/>
                <w:highlight w:val="white"/>
              </w:rPr>
            </w:pPr>
            <w:r>
              <w:rPr>
                <w:rFonts w:cs="Arial"/>
                <w:color w:val="000000"/>
                <w:sz w:val="21"/>
                <w:highlight w:val="white"/>
              </w:rPr>
              <w:t>     </w:t>
            </w:r>
            <w:r>
              <w:rPr>
                <w:rFonts w:cs="Arial"/>
                <w:color w:val="000000"/>
                <w:sz w:val="21"/>
                <w:highlight w:val="white"/>
              </w:rPr>
              <w:t>Перевязка послеоперационных ран с манипуляцией</w:t>
            </w:r>
          </w:p>
          <w:p>
            <w:pPr>
              <w:pStyle w:val="Normal"/>
              <w:spacing w:lineRule="auto" w:line="240" w:before="15" w:after="0"/>
              <w:ind w:left="240" w:right="600"/>
              <w:rPr>
                <w:rFonts w:cs="Arial"/>
                <w:i/>
                <w:i/>
                <w:color w:val="000000"/>
                <w:sz w:val="21"/>
                <w:highlight w:val="white"/>
              </w:rPr>
            </w:pPr>
            <w:r>
              <w:rPr>
                <w:rFonts w:cs="Arial"/>
                <w:i/>
                <w:color w:val="000000"/>
                <w:sz w:val="21"/>
                <w:highlight w:val="white"/>
              </w:rPr>
              <w:t xml:space="preserve">     </w:t>
            </w:r>
            <w:r>
              <w:rPr>
                <w:rFonts w:cs="Arial"/>
                <w:i/>
                <w:color w:val="000000"/>
                <w:sz w:val="21"/>
                <w:highlight w:val="white"/>
              </w:rPr>
              <w:t>(А15.01.001)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450,00</w:t>
            </w:r>
          </w:p>
          <w:p>
            <w:pPr>
              <w:pStyle w:val="Normal"/>
              <w:spacing w:lineRule="auto" w:line="240" w:before="15" w:after="0"/>
              <w:ind w:left="600" w:right="600"/>
              <w:rPr>
                <w:rFonts w:cs="Arial"/>
                <w:color w:val="000000"/>
                <w:sz w:val="21"/>
                <w:highlight w:val="white"/>
              </w:rPr>
            </w:pPr>
            <w:r>
              <w:rPr/>
            </w:r>
          </w:p>
          <w:p>
            <w:pPr>
              <w:pStyle w:val="Normal"/>
              <w:spacing w:lineRule="auto" w:line="240" w:before="15" w:after="0"/>
              <w:ind w:left="600" w:right="600"/>
              <w:rPr>
                <w:rFonts w:cs="Arial"/>
                <w:color w:val="000000"/>
                <w:sz w:val="21"/>
                <w:highlight w:val="white"/>
              </w:rPr>
            </w:pPr>
            <w:r>
              <w:rPr/>
            </w:r>
          </w:p>
          <w:p>
            <w:pPr>
              <w:pStyle w:val="Normal"/>
              <w:spacing w:lineRule="auto" w:line="240" w:before="15" w:after="0"/>
              <w:ind w:left="600" w:right="600"/>
              <w:rPr>
                <w:rFonts w:cs="Arial"/>
                <w:color w:val="000000"/>
                <w:sz w:val="21"/>
                <w:highlight w:val="white"/>
              </w:rPr>
            </w:pPr>
            <w:r>
              <w:rPr>
                <w:rFonts w:cs="Arial"/>
                <w:color w:val="000000"/>
                <w:sz w:val="21"/>
                <w:highlight w:val="white"/>
              </w:rPr>
              <w:t>800,00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240" w:right="600"/>
              <w:rPr>
                <w:rFonts w:cs="Arial"/>
                <w:color w:val="000000"/>
                <w:sz w:val="21"/>
                <w:highlight w:val="white"/>
              </w:rPr>
            </w:pPr>
            <w:r>
              <w:rPr>
                <w:rFonts w:cs="Arial"/>
                <w:color w:val="000000"/>
                <w:sz w:val="21"/>
                <w:highlight w:val="white"/>
              </w:rPr>
              <w:t xml:space="preserve">     </w:t>
            </w:r>
            <w:r>
              <w:rPr>
                <w:rFonts w:cs="Arial"/>
                <w:color w:val="000000"/>
                <w:sz w:val="21"/>
                <w:highlight w:val="white"/>
              </w:rPr>
              <w:t>Снятие гипсовых повязок</w:t>
            </w:r>
          </w:p>
          <w:p>
            <w:pPr>
              <w:pStyle w:val="Normal"/>
              <w:spacing w:lineRule="auto" w:line="240" w:before="15" w:after="0"/>
              <w:ind w:left="240" w:right="600"/>
              <w:rPr>
                <w:rFonts w:cs="Arial"/>
                <w:i/>
                <w:i/>
                <w:color w:val="000000"/>
                <w:sz w:val="21"/>
                <w:highlight w:val="white"/>
              </w:rPr>
            </w:pPr>
            <w:r>
              <w:rPr>
                <w:rFonts w:cs="Arial"/>
                <w:i/>
                <w:color w:val="000000"/>
                <w:sz w:val="21"/>
                <w:highlight w:val="white"/>
              </w:rPr>
              <w:t xml:space="preserve">     </w:t>
            </w:r>
            <w:r>
              <w:rPr>
                <w:rFonts w:cs="Arial"/>
                <w:i/>
                <w:color w:val="000000"/>
                <w:sz w:val="21"/>
                <w:highlight w:val="white"/>
              </w:rPr>
              <w:t>(А15.03.010)</w:t>
            </w:r>
          </w:p>
          <w:p>
            <w:pPr>
              <w:pStyle w:val="Normal"/>
              <w:spacing w:lineRule="auto" w:line="240" w:before="15" w:after="0"/>
              <w:ind w:left="240" w:right="600"/>
              <w:rPr>
                <w:rFonts w:cs="Arial"/>
                <w:color w:val="000000"/>
                <w:sz w:val="21"/>
                <w:highlight w:val="white"/>
              </w:rPr>
            </w:pPr>
            <w:r>
              <w:rPr/>
            </w:r>
          </w:p>
          <w:p>
            <w:pPr>
              <w:pStyle w:val="Normal"/>
              <w:spacing w:lineRule="auto" w:line="240" w:before="15" w:after="0"/>
              <w:ind w:left="240" w:right="600"/>
              <w:rPr>
                <w:rFonts w:cs="Arial"/>
                <w:color w:val="000000"/>
                <w:sz w:val="21"/>
                <w:highlight w:val="white"/>
              </w:rPr>
            </w:pPr>
            <w:r>
              <w:rPr>
                <w:rFonts w:cs="Arial"/>
                <w:color w:val="000000"/>
                <w:sz w:val="21"/>
                <w:highlight w:val="white"/>
              </w:rPr>
              <w:t xml:space="preserve">     </w:t>
            </w:r>
            <w:r>
              <w:rPr>
                <w:rFonts w:cs="Arial"/>
                <w:color w:val="000000"/>
                <w:sz w:val="21"/>
                <w:highlight w:val="white"/>
              </w:rPr>
              <w:t>Снятие швов</w:t>
            </w:r>
          </w:p>
          <w:p>
            <w:pPr>
              <w:pStyle w:val="Normal"/>
              <w:spacing w:lineRule="auto" w:line="240" w:before="15" w:after="0"/>
              <w:ind w:left="240" w:right="600"/>
              <w:rPr>
                <w:rFonts w:cs="Arial"/>
                <w:i/>
                <w:i/>
                <w:color w:val="000000"/>
                <w:sz w:val="21"/>
                <w:highlight w:val="white"/>
              </w:rPr>
            </w:pPr>
            <w:r>
              <w:rPr>
                <w:rFonts w:cs="Arial"/>
                <w:i/>
                <w:color w:val="000000"/>
                <w:sz w:val="21"/>
                <w:highlight w:val="white"/>
              </w:rPr>
              <w:t xml:space="preserve">     </w:t>
            </w:r>
            <w:r>
              <w:rPr>
                <w:rFonts w:cs="Arial"/>
                <w:i/>
                <w:color w:val="000000"/>
                <w:sz w:val="21"/>
                <w:highlight w:val="white"/>
              </w:rPr>
              <w:t>(А16.30.069)</w:t>
            </w:r>
          </w:p>
          <w:p>
            <w:pPr>
              <w:pStyle w:val="Normal"/>
              <w:spacing w:lineRule="auto" w:line="240" w:before="15" w:after="0"/>
              <w:ind w:left="240" w:right="600"/>
              <w:rPr>
                <w:rFonts w:cs="Arial"/>
                <w:color w:val="000000"/>
                <w:sz w:val="21"/>
                <w:highlight w:val="white"/>
              </w:rPr>
            </w:pPr>
            <w:r>
              <w:rPr/>
            </w:r>
          </w:p>
          <w:p>
            <w:pPr>
              <w:pStyle w:val="Normal"/>
              <w:spacing w:lineRule="auto" w:line="240" w:before="15" w:after="0"/>
              <w:ind w:left="240" w:right="600"/>
              <w:rPr>
                <w:rFonts w:cs="Arial"/>
                <w:color w:val="000000"/>
                <w:sz w:val="21"/>
                <w:highlight w:val="white"/>
              </w:rPr>
            </w:pPr>
            <w:r>
              <w:rPr>
                <w:rFonts w:cs="Arial"/>
                <w:color w:val="000000"/>
                <w:sz w:val="21"/>
                <w:highlight w:val="white"/>
              </w:rPr>
              <w:t>     </w:t>
            </w:r>
            <w:r>
              <w:rPr>
                <w:rFonts w:cs="Arial"/>
                <w:color w:val="000000"/>
                <w:sz w:val="21"/>
                <w:highlight w:val="white"/>
              </w:rPr>
              <w:t>Снятие скоб (1 скоба)</w:t>
            </w:r>
          </w:p>
          <w:p>
            <w:pPr>
              <w:pStyle w:val="Normal"/>
              <w:spacing w:lineRule="auto" w:line="240" w:before="15" w:after="0"/>
              <w:ind w:left="240" w:right="600"/>
              <w:rPr>
                <w:rFonts w:cs="Arial"/>
                <w:i/>
                <w:i/>
                <w:color w:val="000000"/>
                <w:sz w:val="21"/>
                <w:highlight w:val="white"/>
              </w:rPr>
            </w:pPr>
            <w:r>
              <w:rPr>
                <w:rFonts w:cs="Arial"/>
                <w:i/>
                <w:color w:val="000000"/>
                <w:sz w:val="21"/>
                <w:highlight w:val="white"/>
              </w:rPr>
              <w:t xml:space="preserve">     </w:t>
            </w:r>
            <w:r>
              <w:rPr>
                <w:rFonts w:cs="Arial"/>
                <w:i/>
                <w:color w:val="000000"/>
                <w:sz w:val="21"/>
                <w:highlight w:val="white"/>
              </w:rPr>
              <w:t>(А16.30.069)</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650,00</w:t>
            </w:r>
          </w:p>
          <w:p>
            <w:pPr>
              <w:pStyle w:val="Normal"/>
              <w:spacing w:lineRule="auto" w:line="240" w:before="15" w:after="0"/>
              <w:ind w:left="600" w:right="600"/>
              <w:rPr>
                <w:rFonts w:cs="Arial"/>
                <w:color w:val="000000"/>
                <w:sz w:val="21"/>
                <w:highlight w:val="white"/>
              </w:rPr>
            </w:pPr>
            <w:r>
              <w:rPr/>
            </w:r>
          </w:p>
          <w:p>
            <w:pPr>
              <w:pStyle w:val="Normal"/>
              <w:spacing w:lineRule="auto" w:line="240" w:before="15" w:after="0"/>
              <w:ind w:left="600" w:right="600"/>
              <w:rPr>
                <w:rFonts w:cs="Arial"/>
                <w:color w:val="000000"/>
                <w:sz w:val="21"/>
                <w:highlight w:val="white"/>
              </w:rPr>
            </w:pPr>
            <w:r>
              <w:rPr/>
            </w:r>
          </w:p>
          <w:p>
            <w:pPr>
              <w:pStyle w:val="Normal"/>
              <w:spacing w:lineRule="auto" w:line="240" w:before="15" w:after="0"/>
              <w:ind w:left="600" w:right="600"/>
              <w:rPr>
                <w:rFonts w:cs="Arial"/>
                <w:color w:val="000000"/>
                <w:sz w:val="21"/>
              </w:rPr>
            </w:pPr>
            <w:r>
              <w:rPr>
                <w:rFonts w:cs="Arial"/>
                <w:color w:val="000000"/>
                <w:sz w:val="21"/>
              </w:rPr>
              <w:t>500,00</w:t>
            </w:r>
          </w:p>
          <w:p>
            <w:pPr>
              <w:pStyle w:val="Normal"/>
              <w:spacing w:lineRule="auto" w:line="240" w:before="15" w:after="0"/>
              <w:ind w:left="600" w:right="600"/>
              <w:rPr>
                <w:rFonts w:cs="Arial"/>
                <w:color w:val="000000"/>
                <w:sz w:val="21"/>
                <w:highlight w:val="white"/>
              </w:rPr>
            </w:pPr>
            <w:r>
              <w:rPr/>
            </w:r>
          </w:p>
          <w:p>
            <w:pPr>
              <w:pStyle w:val="Normal"/>
              <w:spacing w:lineRule="auto" w:line="240" w:before="15" w:after="0"/>
              <w:ind w:left="600" w:right="600"/>
              <w:rPr>
                <w:rFonts w:cs="Arial"/>
                <w:color w:val="000000"/>
                <w:sz w:val="21"/>
                <w:highlight w:val="white"/>
              </w:rPr>
            </w:pPr>
            <w:r>
              <w:rPr/>
            </w:r>
          </w:p>
          <w:p>
            <w:pPr>
              <w:pStyle w:val="Normal"/>
              <w:spacing w:lineRule="auto" w:line="240" w:before="15" w:after="0"/>
              <w:ind w:left="600" w:right="600"/>
              <w:rPr>
                <w:rFonts w:cs="Arial"/>
                <w:color w:val="000000"/>
                <w:sz w:val="21"/>
                <w:highlight w:val="white"/>
              </w:rPr>
            </w:pPr>
            <w:r>
              <w:rPr>
                <w:rFonts w:cs="Arial"/>
                <w:color w:val="000000"/>
                <w:sz w:val="21"/>
                <w:highlight w:val="white"/>
              </w:rPr>
              <w:t>100,00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41" w:right="600"/>
              <w:rPr>
                <w:rFonts w:cs="Arial"/>
                <w:color w:val="000000"/>
                <w:sz w:val="21"/>
                <w:highlight w:val="white"/>
              </w:rPr>
            </w:pPr>
            <w:r>
              <w:rPr>
                <w:rFonts w:cs="Arial"/>
                <w:color w:val="000000"/>
                <w:sz w:val="21"/>
                <w:highlight w:val="white"/>
              </w:rPr>
              <w:t>Внутрисуставное введение лекарственного препарата (без стоимости лекарства)</w:t>
            </w:r>
          </w:p>
          <w:p>
            <w:pPr>
              <w:pStyle w:val="Normal"/>
              <w:spacing w:lineRule="auto" w:line="240" w:before="15" w:after="0"/>
              <w:ind w:left="641" w:right="600"/>
              <w:rPr>
                <w:rFonts w:cs="Arial"/>
                <w:i/>
                <w:i/>
                <w:color w:val="000000"/>
                <w:sz w:val="21"/>
                <w:highlight w:val="white"/>
              </w:rPr>
            </w:pPr>
            <w:r>
              <w:rPr>
                <w:rFonts w:cs="Arial"/>
                <w:i/>
                <w:color w:val="000000"/>
                <w:sz w:val="21"/>
                <w:highlight w:val="white"/>
              </w:rPr>
              <w:t>(А11.04.004)</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1000,00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 xml:space="preserve">Удаление папиллом и других новообразований кожи радиоволновым методом (без стоимости исследования) </w:t>
            </w:r>
            <w:r>
              <w:rPr>
                <w:rFonts w:cs="Arial"/>
                <w:i/>
                <w:color w:val="000000"/>
                <w:sz w:val="21"/>
              </w:rPr>
              <w:t>(А16.01.017)</w:t>
            </w:r>
          </w:p>
          <w:p>
            <w:pPr>
              <w:pStyle w:val="Normal"/>
              <w:spacing w:lineRule="auto" w:line="240" w:before="15" w:after="0"/>
              <w:ind w:left="600" w:right="600"/>
              <w:rPr>
                <w:rFonts w:cs="Arial"/>
                <w:i/>
                <w:i/>
                <w:color w:val="000000"/>
                <w:sz w:val="21"/>
              </w:rPr>
            </w:pPr>
            <w:r>
              <w:rPr/>
            </w:r>
          </w:p>
          <w:p>
            <w:pPr>
              <w:pStyle w:val="Normal"/>
              <w:spacing w:lineRule="auto" w:line="240" w:before="15" w:after="0"/>
              <w:ind w:left="600" w:right="600"/>
              <w:rPr>
                <w:rFonts w:cs="Arial"/>
                <w:color w:val="000000"/>
                <w:sz w:val="21"/>
              </w:rPr>
            </w:pPr>
            <w:r>
              <w:rPr>
                <w:rFonts w:cs="Arial"/>
                <w:color w:val="000000"/>
                <w:sz w:val="21"/>
              </w:rPr>
              <w:t>1 категория</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Fonts w:cs="Arial"/>
                <w:color w:val="000000"/>
                <w:sz w:val="21"/>
              </w:rPr>
              <w:t>2 категория</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Fonts w:cs="Arial"/>
                <w:color w:val="000000"/>
                <w:sz w:val="21"/>
              </w:rPr>
              <w:t>3 категория</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rPr>
                <w:rFonts w:cs="Arial"/>
                <w:color w:val="000000"/>
                <w:sz w:val="21"/>
              </w:rPr>
            </w:pPr>
            <w:r>
              <w:rPr/>
            </w:r>
          </w:p>
          <w:p>
            <w:pPr>
              <w:pStyle w:val="Normal"/>
              <w:spacing w:lineRule="auto" w:line="240" w:before="15" w:after="0"/>
              <w:ind w:right="600"/>
              <w:jc w:val="center"/>
              <w:rPr>
                <w:rFonts w:cs="Arial"/>
                <w:color w:val="000000"/>
                <w:sz w:val="21"/>
              </w:rPr>
            </w:pPr>
            <w:r>
              <w:rPr>
                <w:rFonts w:cs="Arial"/>
                <w:color w:val="000000"/>
                <w:sz w:val="21"/>
              </w:rPr>
            </w:r>
          </w:p>
          <w:p>
            <w:pPr>
              <w:pStyle w:val="Normal"/>
              <w:spacing w:lineRule="auto" w:line="240" w:before="15" w:after="0"/>
              <w:ind w:right="600"/>
              <w:jc w:val="center"/>
              <w:rPr>
                <w:rFonts w:cs="Arial"/>
                <w:color w:val="000000"/>
                <w:sz w:val="21"/>
              </w:rPr>
            </w:pPr>
            <w:r>
              <w:rPr>
                <w:rFonts w:cs="Arial"/>
                <w:color w:val="000000"/>
                <w:sz w:val="21"/>
              </w:rPr>
            </w:r>
          </w:p>
          <w:p>
            <w:pPr>
              <w:pStyle w:val="Normal"/>
              <w:spacing w:lineRule="auto" w:line="240" w:before="15" w:after="0"/>
              <w:ind w:right="600"/>
              <w:jc w:val="center"/>
              <w:rPr>
                <w:rFonts w:cs="Arial"/>
                <w:color w:val="000000"/>
                <w:sz w:val="21"/>
              </w:rPr>
            </w:pPr>
            <w:r>
              <w:rPr>
                <w:rFonts w:cs="Arial"/>
                <w:color w:val="000000"/>
                <w:sz w:val="21"/>
              </w:rPr>
            </w:r>
          </w:p>
          <w:p>
            <w:pPr>
              <w:pStyle w:val="Normal"/>
              <w:spacing w:lineRule="auto" w:line="240" w:before="15" w:after="0"/>
              <w:ind w:right="600"/>
              <w:rPr/>
            </w:pPr>
            <w:r>
              <w:rPr>
                <w:rFonts w:cs="Arial"/>
                <w:color w:val="000000"/>
                <w:sz w:val="21"/>
              </w:rPr>
              <w:t xml:space="preserve">          </w:t>
            </w:r>
            <w:r>
              <w:rPr>
                <w:rFonts w:cs="Arial"/>
                <w:color w:val="000000"/>
                <w:sz w:val="21"/>
              </w:rPr>
              <w:t>1000,00</w:t>
            </w:r>
          </w:p>
          <w:p>
            <w:pPr>
              <w:pStyle w:val="Normal"/>
              <w:spacing w:lineRule="auto" w:line="240" w:before="15" w:after="0"/>
              <w:ind w:left="600" w:right="600"/>
              <w:rPr/>
            </w:pPr>
            <w:r>
              <w:rPr/>
            </w:r>
          </w:p>
          <w:p>
            <w:pPr>
              <w:pStyle w:val="Normal"/>
              <w:spacing w:lineRule="auto" w:line="240" w:before="15" w:after="0"/>
              <w:ind w:left="600" w:right="600"/>
              <w:rPr>
                <w:rFonts w:cs="Arial"/>
                <w:color w:val="000000"/>
                <w:sz w:val="21"/>
              </w:rPr>
            </w:pPr>
            <w:r>
              <w:rPr>
                <w:rFonts w:cs="Arial"/>
                <w:color w:val="000000"/>
                <w:sz w:val="21"/>
              </w:rPr>
              <w:t>2000,00</w:t>
            </w:r>
          </w:p>
          <w:p>
            <w:pPr>
              <w:pStyle w:val="Normal"/>
              <w:spacing w:lineRule="auto" w:line="240" w:before="15" w:after="0"/>
              <w:ind w:left="600" w:right="600"/>
              <w:rPr>
                <w:rFonts w:cs="Arial"/>
                <w:color w:val="000000"/>
                <w:sz w:val="21"/>
              </w:rPr>
            </w:pPr>
            <w:r>
              <w:rPr/>
            </w:r>
          </w:p>
          <w:p>
            <w:pPr>
              <w:pStyle w:val="Normal"/>
              <w:spacing w:lineRule="auto" w:line="240" w:before="15" w:after="0"/>
              <w:ind w:left="600" w:right="600"/>
              <w:rPr>
                <w:rFonts w:cs="Arial"/>
                <w:color w:val="000000"/>
                <w:sz w:val="21"/>
              </w:rPr>
            </w:pPr>
            <w:r>
              <w:rPr>
                <w:rFonts w:cs="Arial"/>
                <w:color w:val="000000"/>
                <w:sz w:val="21"/>
              </w:rPr>
              <w:t>3000,00</w:t>
            </w:r>
          </w:p>
        </w:tc>
      </w:tr>
      <w:tr>
        <w:trPr>
          <w:trHeight w:val="538"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Хирургическое удаление вросшего ногтя</w:t>
            </w:r>
          </w:p>
          <w:p>
            <w:pPr>
              <w:pStyle w:val="Normal"/>
              <w:spacing w:lineRule="auto" w:line="240" w:before="15" w:after="0"/>
              <w:ind w:left="600" w:right="600"/>
              <w:rPr>
                <w:rFonts w:cs="Arial"/>
                <w:color w:val="000000"/>
                <w:sz w:val="21"/>
              </w:rPr>
            </w:pPr>
            <w:r>
              <w:rPr>
                <w:rFonts w:cs="Arial"/>
                <w:i/>
                <w:color w:val="000000"/>
                <w:sz w:val="21"/>
              </w:rPr>
              <w:t>(А 16.01.027)</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rPr>
                <w:rFonts w:cs="Arial"/>
                <w:color w:val="000000"/>
                <w:sz w:val="21"/>
              </w:rPr>
            </w:pPr>
            <w:r>
              <w:rPr>
                <w:rFonts w:cs="Arial"/>
                <w:color w:val="000000"/>
                <w:sz w:val="21"/>
              </w:rPr>
              <w:t xml:space="preserve">        </w:t>
            </w:r>
            <w:r>
              <w:rPr>
                <w:rFonts w:cs="Arial"/>
                <w:color w:val="000000"/>
                <w:sz w:val="21"/>
              </w:rPr>
              <w:t>2500,00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Хирургическое удаление атеромы до 1 см.</w:t>
            </w:r>
          </w:p>
          <w:p>
            <w:pPr>
              <w:pStyle w:val="Normal"/>
              <w:spacing w:lineRule="auto" w:line="240" w:before="15" w:after="0"/>
              <w:ind w:left="600" w:right="600"/>
              <w:rPr>
                <w:rFonts w:cs="Arial"/>
                <w:color w:val="000000"/>
                <w:sz w:val="21"/>
              </w:rPr>
            </w:pPr>
            <w:r>
              <w:rPr>
                <w:rFonts w:cs="Arial"/>
                <w:i/>
                <w:color w:val="000000"/>
                <w:sz w:val="21"/>
              </w:rPr>
              <w:t>(А 16.01.016)</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jc w:val="center"/>
              <w:rPr>
                <w:rFonts w:cs="Arial"/>
                <w:color w:val="000000"/>
                <w:sz w:val="21"/>
              </w:rPr>
            </w:pPr>
            <w:r>
              <w:rPr>
                <w:rFonts w:cs="Arial"/>
                <w:color w:val="000000"/>
                <w:sz w:val="21"/>
              </w:rPr>
              <w:t>4500,00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Хирургическое удаление атеромы до 3 см.</w:t>
            </w:r>
          </w:p>
          <w:p>
            <w:pPr>
              <w:pStyle w:val="Normal"/>
              <w:spacing w:lineRule="auto" w:line="240" w:before="15" w:after="0"/>
              <w:ind w:left="600" w:right="600"/>
              <w:rPr>
                <w:rFonts w:cs="Arial"/>
                <w:color w:val="000000"/>
                <w:sz w:val="21"/>
              </w:rPr>
            </w:pPr>
            <w:r>
              <w:rPr>
                <w:rFonts w:cs="Arial"/>
                <w:i/>
                <w:color w:val="000000"/>
                <w:sz w:val="21"/>
              </w:rPr>
              <w:t>(А 16.01.016)</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jc w:val="center"/>
              <w:rPr>
                <w:rFonts w:cs="Arial"/>
                <w:color w:val="000000"/>
                <w:sz w:val="21"/>
              </w:rPr>
            </w:pPr>
            <w:r>
              <w:rPr>
                <w:rFonts w:cs="Arial"/>
                <w:color w:val="000000"/>
                <w:sz w:val="21"/>
              </w:rPr>
              <w:t>6000,00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Хирургическое удаление фибромы, невуса, кератомы, гемангиомы (до 1 см.)</w:t>
            </w:r>
          </w:p>
          <w:p>
            <w:pPr>
              <w:pStyle w:val="Normal"/>
              <w:spacing w:lineRule="auto" w:line="240" w:before="15" w:after="0"/>
              <w:ind w:left="600" w:right="600"/>
              <w:rPr>
                <w:rFonts w:cs="Arial"/>
                <w:color w:val="000000"/>
                <w:sz w:val="21"/>
              </w:rPr>
            </w:pPr>
            <w:r>
              <w:rPr>
                <w:rFonts w:cs="Arial"/>
                <w:i/>
                <w:color w:val="000000"/>
                <w:sz w:val="21"/>
              </w:rPr>
              <w:t>(А 16.01.017)</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jc w:val="center"/>
              <w:rPr>
                <w:rFonts w:cs="Arial"/>
                <w:color w:val="000000"/>
                <w:sz w:val="21"/>
              </w:rPr>
            </w:pPr>
            <w:r>
              <w:rPr>
                <w:rFonts w:cs="Arial"/>
                <w:color w:val="000000"/>
                <w:sz w:val="21"/>
              </w:rPr>
              <w:t>6500,00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Хирургическое удаление фибромы, невуса, кератомы, гемангиомы (до 2 см.)</w:t>
            </w:r>
          </w:p>
          <w:p>
            <w:pPr>
              <w:pStyle w:val="Normal"/>
              <w:spacing w:lineRule="auto" w:line="240" w:before="15" w:after="0"/>
              <w:ind w:left="600" w:right="600"/>
              <w:rPr>
                <w:rFonts w:cs="Arial"/>
                <w:color w:val="000000"/>
                <w:sz w:val="21"/>
              </w:rPr>
            </w:pPr>
            <w:r>
              <w:rPr>
                <w:rFonts w:cs="Arial"/>
                <w:i/>
                <w:color w:val="000000"/>
                <w:sz w:val="21"/>
              </w:rPr>
              <w:t>(А 16.01.017)</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jc w:val="center"/>
              <w:rPr>
                <w:rFonts w:cs="Arial"/>
                <w:color w:val="000000"/>
                <w:sz w:val="21"/>
              </w:rPr>
            </w:pPr>
            <w:r>
              <w:rPr>
                <w:rFonts w:cs="Arial"/>
                <w:color w:val="000000"/>
                <w:sz w:val="21"/>
              </w:rPr>
              <w:t>8500,00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Хирургическое удаление липомы (до 3 см.)</w:t>
            </w:r>
          </w:p>
          <w:p>
            <w:pPr>
              <w:pStyle w:val="Normal"/>
              <w:spacing w:lineRule="auto" w:line="240" w:before="15" w:after="0"/>
              <w:ind w:left="600" w:right="600"/>
              <w:rPr>
                <w:rFonts w:cs="Arial"/>
                <w:color w:val="000000"/>
                <w:sz w:val="21"/>
              </w:rPr>
            </w:pPr>
            <w:r>
              <w:rPr>
                <w:rFonts w:cs="Arial"/>
                <w:i/>
                <w:color w:val="000000"/>
                <w:sz w:val="21"/>
              </w:rPr>
              <w:t>(А 16.01.017)</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jc w:val="center"/>
              <w:rPr>
                <w:rFonts w:cs="Arial"/>
                <w:color w:val="000000"/>
                <w:sz w:val="21"/>
              </w:rPr>
            </w:pPr>
            <w:r>
              <w:rPr>
                <w:rFonts w:cs="Arial"/>
                <w:color w:val="000000"/>
                <w:sz w:val="21"/>
              </w:rPr>
              <w:t>6500,00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Хирургическое лечение фурункулов, абсцессов, панарициев, инфицированных атером (за 1 шт.)</w:t>
            </w:r>
          </w:p>
          <w:p>
            <w:pPr>
              <w:pStyle w:val="Normal"/>
              <w:spacing w:lineRule="auto" w:line="240" w:before="15" w:after="0"/>
              <w:ind w:left="600" w:right="600"/>
              <w:rPr>
                <w:rFonts w:cs="Arial"/>
                <w:color w:val="000000"/>
                <w:sz w:val="21"/>
              </w:rPr>
            </w:pPr>
            <w:r>
              <w:rPr>
                <w:rFonts w:cs="Arial"/>
                <w:i/>
                <w:color w:val="000000"/>
                <w:sz w:val="21"/>
              </w:rPr>
              <w:t>(А 16.01.011, А 16.01.012, А 16.01.002, А 16.01.016)</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jc w:val="center"/>
              <w:rPr>
                <w:rFonts w:cs="Arial"/>
                <w:color w:val="000000"/>
                <w:sz w:val="21"/>
              </w:rPr>
            </w:pPr>
            <w:r>
              <w:rPr>
                <w:rFonts w:cs="Arial"/>
                <w:color w:val="000000"/>
                <w:sz w:val="21"/>
              </w:rPr>
              <w:t>2500,00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 xml:space="preserve">Первичная хирургическая обработка раны с наложением швов </w:t>
            </w:r>
            <w:r>
              <w:rPr>
                <w:rFonts w:cs="Arial"/>
                <w:i/>
                <w:color w:val="000000"/>
                <w:sz w:val="21"/>
              </w:rPr>
              <w:t>(А 16.01.004)</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120" w:right="600"/>
              <w:jc w:val="center"/>
              <w:rPr>
                <w:rFonts w:cs="Arial"/>
                <w:color w:val="000000"/>
                <w:sz w:val="21"/>
              </w:rPr>
            </w:pPr>
            <w:r>
              <w:rPr>
                <w:rFonts w:cs="Arial"/>
                <w:color w:val="000000"/>
                <w:sz w:val="21"/>
              </w:rPr>
              <w:t>1700,00</w:t>
            </w:r>
          </w:p>
        </w:tc>
      </w:tr>
      <w:tr>
        <w:trPr>
          <w:trHeight w:val="538"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Электрокардиограмма (запись)</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(А05.10.006)</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300,00</w:t>
            </w:r>
          </w:p>
        </w:tc>
      </w:tr>
      <w:tr>
        <w:trPr>
          <w:trHeight w:val="538"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Расшифровка ЭКГ</w:t>
            </w:r>
          </w:p>
          <w:p>
            <w:pPr>
              <w:pStyle w:val="Normal"/>
              <w:spacing w:lineRule="auto" w:line="240" w:before="15" w:after="0"/>
              <w:ind w:left="600" w:right="600"/>
              <w:rPr>
                <w:rFonts w:cs="Arial"/>
                <w:i/>
                <w:i/>
                <w:color w:val="000000"/>
                <w:sz w:val="21"/>
              </w:rPr>
            </w:pPr>
            <w:r>
              <w:rPr>
                <w:rFonts w:cs="Arial"/>
                <w:i/>
                <w:color w:val="000000"/>
                <w:sz w:val="21"/>
              </w:rPr>
              <w:t>(А05.10.004)</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200,00</w:t>
            </w:r>
          </w:p>
        </w:tc>
      </w:tr>
      <w:tr>
        <w:trPr>
          <w:trHeight w:val="486"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Суточное мониторирование АД (СМАД)</w:t>
            </w:r>
          </w:p>
          <w:p>
            <w:pPr>
              <w:pStyle w:val="Normal"/>
              <w:spacing w:lineRule="auto" w:line="240" w:before="15" w:after="0"/>
              <w:ind w:left="600" w:right="600"/>
              <w:rPr>
                <w:rFonts w:cs="Arial"/>
                <w:i/>
                <w:i/>
                <w:color w:val="000000"/>
                <w:sz w:val="21"/>
              </w:rPr>
            </w:pPr>
            <w:r>
              <w:rPr>
                <w:rFonts w:cs="Arial"/>
                <w:i/>
                <w:color w:val="000000"/>
                <w:sz w:val="21"/>
              </w:rPr>
              <w:t>(А02.12.002.001)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1000,00</w:t>
            </w:r>
          </w:p>
        </w:tc>
      </w:tr>
      <w:tr>
        <w:trPr>
          <w:trHeight w:val="443"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Суточное мониторирование ЭКГ (ХОЛТЕР) - 12 отведений</w:t>
            </w:r>
          </w:p>
          <w:p>
            <w:pPr>
              <w:pStyle w:val="Normal"/>
              <w:spacing w:lineRule="auto" w:line="240" w:before="15" w:after="0"/>
              <w:ind w:left="600" w:right="600"/>
              <w:rPr>
                <w:rFonts w:cs="Arial"/>
                <w:i/>
                <w:i/>
                <w:color w:val="000000"/>
                <w:sz w:val="21"/>
              </w:rPr>
            </w:pPr>
            <w:r>
              <w:rPr>
                <w:rFonts w:cs="Arial"/>
                <w:i/>
                <w:color w:val="000000"/>
                <w:sz w:val="21"/>
              </w:rPr>
              <w:t>(А05.10.008)</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1900,00</w:t>
            </w:r>
          </w:p>
        </w:tc>
      </w:tr>
      <w:tr>
        <w:trPr>
          <w:trHeight w:val="47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Спирография</w:t>
            </w:r>
          </w:p>
          <w:p>
            <w:pPr>
              <w:pStyle w:val="Normal"/>
              <w:spacing w:lineRule="auto" w:line="240" w:before="15" w:after="0"/>
              <w:ind w:left="600" w:right="600"/>
              <w:rPr>
                <w:rFonts w:cs="Arial"/>
                <w:i/>
                <w:i/>
                <w:color w:val="000000"/>
                <w:sz w:val="21"/>
              </w:rPr>
            </w:pPr>
            <w:r>
              <w:rPr>
                <w:rFonts w:cs="Arial"/>
                <w:i/>
                <w:color w:val="000000"/>
                <w:sz w:val="21"/>
              </w:rPr>
              <w:t>(В03.037.001)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500,00</w:t>
            </w:r>
          </w:p>
        </w:tc>
      </w:tr>
      <w:tr>
        <w:trPr>
          <w:trHeight w:val="488"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rPr>
            </w:pPr>
            <w:r>
              <w:rPr>
                <w:rFonts w:cs="Arial"/>
                <w:color w:val="000000"/>
                <w:sz w:val="21"/>
              </w:rPr>
              <w:t>Спирография с пробой с бронхолитиком</w:t>
            </w:r>
          </w:p>
          <w:p>
            <w:pPr>
              <w:pStyle w:val="Normal"/>
              <w:spacing w:lineRule="auto" w:line="240" w:before="15" w:after="0"/>
              <w:ind w:left="600" w:right="600"/>
              <w:rPr>
                <w:rFonts w:cs="Arial"/>
                <w:i/>
                <w:i/>
                <w:color w:val="000000"/>
                <w:sz w:val="21"/>
              </w:rPr>
            </w:pPr>
            <w:r>
              <w:rPr>
                <w:rFonts w:cs="Arial"/>
                <w:i/>
                <w:color w:val="000000"/>
                <w:sz w:val="21"/>
              </w:rPr>
              <w:t>(В03.037.001)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rPr>
            </w:pPr>
            <w:r>
              <w:rPr>
                <w:rFonts w:cs="Arial"/>
                <w:color w:val="000000"/>
                <w:sz w:val="21"/>
              </w:rPr>
              <w:t>800,00</w:t>
            </w:r>
          </w:p>
        </w:tc>
      </w:tr>
      <w:tr>
        <w:trPr>
          <w:trHeight w:val="433"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Электроэнцефалография</w:t>
            </w:r>
          </w:p>
          <w:p>
            <w:pPr>
              <w:pStyle w:val="Normal"/>
              <w:spacing w:lineRule="auto" w:line="240" w:before="15" w:after="0"/>
              <w:ind w:left="600" w:right="600"/>
              <w:rPr>
                <w:highlight w:val="white"/>
              </w:rPr>
            </w:pPr>
            <w:r>
              <w:rPr>
                <w:rFonts w:cs="Arial"/>
                <w:i/>
                <w:color w:val="000000"/>
                <w:sz w:val="21"/>
                <w:highlight w:val="white"/>
              </w:rPr>
              <w:t>(А04.23.002)</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highlight w:val="white"/>
              </w:rPr>
            </w:pPr>
            <w:r>
              <w:rPr>
                <w:rFonts w:cs="Arial"/>
                <w:color w:val="000000"/>
                <w:sz w:val="21"/>
                <w:highlight w:val="white"/>
              </w:rPr>
              <w:t>1200,00</w:t>
            </w:r>
          </w:p>
        </w:tc>
      </w:tr>
      <w:tr>
        <w:trPr>
          <w:trHeight w:val="51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Массаж простаты</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(А21.21.001)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 </w:t>
            </w:r>
            <w:r>
              <w:rPr>
                <w:rFonts w:cs="Arial"/>
                <w:color w:val="000000"/>
                <w:sz w:val="21"/>
                <w:highlight w:val="white"/>
              </w:rPr>
              <w:t>800,00</w:t>
            </w:r>
          </w:p>
        </w:tc>
      </w:tr>
      <w:tr>
        <w:trPr>
          <w:trHeight w:val="51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Инстилляция мочевого пузыря</w:t>
            </w:r>
          </w:p>
          <w:p>
            <w:pPr>
              <w:pStyle w:val="Normal"/>
              <w:spacing w:lineRule="auto" w:line="240" w:before="15" w:after="0"/>
              <w:ind w:left="600" w:right="600"/>
              <w:rPr>
                <w:rFonts w:cs="Arial"/>
                <w:color w:val="000000"/>
                <w:sz w:val="21"/>
                <w:highlight w:val="white"/>
              </w:rPr>
            </w:pPr>
            <w:r>
              <w:rPr>
                <w:rFonts w:cs="Arial"/>
                <w:color w:val="000000"/>
                <w:sz w:val="21"/>
                <w:highlight w:val="white"/>
              </w:rPr>
              <w:t>(без стоимости препарата)</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(А11.28.009)</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1000,00</w:t>
            </w:r>
          </w:p>
        </w:tc>
      </w:tr>
      <w:tr>
        <w:trPr>
          <w:trHeight w:val="51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Пластика уздечки</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(А16.21.038)</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4000,00</w:t>
            </w:r>
          </w:p>
        </w:tc>
      </w:tr>
      <w:tr>
        <w:trPr>
          <w:trHeight w:val="51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Замена эпицистостомического дренажа</w:t>
            </w:r>
          </w:p>
          <w:p>
            <w:pPr>
              <w:pStyle w:val="Normal"/>
              <w:spacing w:lineRule="auto" w:line="240" w:before="15" w:after="0"/>
              <w:ind w:left="600" w:right="600"/>
              <w:rPr>
                <w:rFonts w:cs="Arial"/>
                <w:color w:val="000000"/>
                <w:sz w:val="21"/>
                <w:highlight w:val="white"/>
              </w:rPr>
            </w:pPr>
            <w:r>
              <w:rPr>
                <w:rFonts w:cs="Arial"/>
                <w:color w:val="000000"/>
                <w:sz w:val="21"/>
                <w:highlight w:val="white"/>
              </w:rPr>
              <w:t>(без стоимости катетера)</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(А16.28.072.001)</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1500,00</w:t>
            </w:r>
          </w:p>
        </w:tc>
      </w:tr>
      <w:tr>
        <w:trPr>
          <w:trHeight w:val="51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Вправление парафимоза</w:t>
            </w:r>
          </w:p>
          <w:p>
            <w:pPr>
              <w:pStyle w:val="Normal"/>
              <w:spacing w:lineRule="auto" w:line="240" w:before="15" w:after="0"/>
              <w:ind w:left="600" w:right="600"/>
              <w:rPr>
                <w:rFonts w:cs="Arial"/>
                <w:i/>
                <w:i/>
                <w:color w:val="000000"/>
                <w:sz w:val="21"/>
                <w:highlight w:val="white"/>
              </w:rPr>
            </w:pPr>
            <w:r>
              <w:rPr>
                <w:rFonts w:cs="Arial"/>
                <w:i/>
                <w:color w:val="000000"/>
                <w:sz w:val="21"/>
                <w:highlight w:val="white"/>
              </w:rPr>
              <w:t>(А16.28.058)</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1400,00</w:t>
            </w:r>
          </w:p>
        </w:tc>
      </w:tr>
      <w:tr>
        <w:trPr>
          <w:trHeight w:val="51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5" w:after="0"/>
              <w:ind w:left="600" w:right="600"/>
              <w:rPr>
                <w:rFonts w:cs="Arial"/>
                <w:color w:val="000000"/>
                <w:sz w:val="21"/>
                <w:highlight w:val="white"/>
              </w:rPr>
            </w:pPr>
            <w:r>
              <w:rPr>
                <w:rFonts w:cs="Arial"/>
                <w:color w:val="000000"/>
                <w:sz w:val="21"/>
                <w:highlight w:val="white"/>
              </w:rPr>
              <w:t>Установка или замена уретрального катетера</w:t>
            </w:r>
          </w:p>
          <w:p>
            <w:pPr>
              <w:pStyle w:val="Normal"/>
              <w:spacing w:lineRule="auto" w:line="240" w:before="15" w:after="0"/>
              <w:ind w:left="600" w:right="600"/>
              <w:rPr>
                <w:rFonts w:cs="Arial"/>
                <w:color w:val="000000"/>
                <w:sz w:val="21"/>
                <w:highlight w:val="white"/>
              </w:rPr>
            </w:pPr>
            <w:r>
              <w:rPr>
                <w:rFonts w:cs="Arial"/>
                <w:color w:val="000000"/>
                <w:sz w:val="21"/>
                <w:highlight w:val="white"/>
              </w:rPr>
              <w:t xml:space="preserve">(без стоимости катетера) </w:t>
            </w:r>
            <w:r>
              <w:rPr>
                <w:rFonts w:cs="Arial"/>
                <w:i/>
                <w:color w:val="000000"/>
                <w:sz w:val="21"/>
                <w:highlight w:val="white"/>
              </w:rPr>
              <w:t>(А11.28.007)</w:t>
            </w:r>
          </w:p>
        </w:tc>
        <w:tc>
          <w:tcPr>
            <w:tcW w:w="2692" w:type="dxa"/>
            <w:tcBorders>
              <w:bottom w:val="single" w:sz="8" w:space="0" w:color="93A8BE"/>
              <w:right w:val="single" w:sz="8" w:space="0" w:color="93A8BE"/>
            </w:tcBorders>
            <w:tcMar>
              <w:left w:w="25" w:type="dxa"/>
            </w:tcMar>
          </w:tcPr>
          <w:p>
            <w:pPr>
              <w:pStyle w:val="Normal"/>
              <w:spacing w:lineRule="auto" w:line="240" w:before="15" w:after="0"/>
              <w:ind w:left="600" w:right="600"/>
              <w:rPr>
                <w:rFonts w:cs="Arial"/>
                <w:color w:val="000000"/>
                <w:sz w:val="21"/>
                <w:highlight w:val="white"/>
              </w:rPr>
            </w:pPr>
            <w:r>
              <w:rPr>
                <w:rFonts w:cs="Arial"/>
                <w:color w:val="000000"/>
                <w:sz w:val="21"/>
                <w:highlight w:val="white"/>
              </w:rPr>
              <w:t>1000,00</w:t>
            </w:r>
          </w:p>
        </w:tc>
      </w:tr>
      <w:tr>
        <w:trPr>
          <w:trHeight w:val="1037"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5" w:after="0"/>
              <w:ind w:right="600"/>
              <w:rPr>
                <w:rFonts w:cs="Arial"/>
                <w:b/>
                <w:color w:val="000000"/>
                <w:sz w:val="21"/>
              </w:rPr>
            </w:pPr>
            <w:r>
              <w:rPr>
                <w:rFonts w:cs="Arial"/>
                <w:b/>
                <w:color w:val="000000"/>
                <w:sz w:val="21"/>
              </w:rPr>
            </w:r>
          </w:p>
          <w:p>
            <w:pPr>
              <w:pStyle w:val="Normal"/>
              <w:spacing w:lineRule="auto" w:line="240" w:before="15" w:after="0"/>
              <w:ind w:left="600" w:right="600"/>
              <w:jc w:val="center"/>
              <w:rPr>
                <w:rFonts w:cs="Arial"/>
                <w:b/>
                <w:color w:val="000000"/>
                <w:sz w:val="21"/>
              </w:rPr>
            </w:pPr>
            <w:r>
              <w:rPr/>
            </w:r>
          </w:p>
          <w:p>
            <w:pPr>
              <w:pStyle w:val="Normal"/>
              <w:spacing w:lineRule="auto" w:line="240" w:before="15" w:after="0"/>
              <w:ind w:left="600" w:right="600"/>
              <w:jc w:val="center"/>
              <w:rPr>
                <w:rFonts w:cs="Arial"/>
                <w:b/>
                <w:color w:val="000000"/>
                <w:sz w:val="21"/>
              </w:rPr>
            </w:pPr>
            <w:r>
              <w:rPr>
                <w:rFonts w:cs="Arial"/>
                <w:b/>
                <w:color w:val="000000"/>
                <w:sz w:val="21"/>
              </w:rPr>
              <w:t>ОТОРИНОЛАРИНГОЛОГИЯ</w:t>
            </w:r>
          </w:p>
        </w:tc>
      </w:tr>
      <w:tr>
        <w:trPr>
          <w:trHeight w:val="390"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5" w:after="0"/>
              <w:ind w:left="600" w:right="600"/>
              <w:jc w:val="center"/>
              <w:rPr>
                <w:rFonts w:cs="Arial"/>
                <w:color w:val="000000"/>
                <w:sz w:val="21"/>
              </w:rPr>
            </w:pPr>
            <w:r>
              <w:rPr>
                <w:rFonts w:cs="Arial"/>
                <w:color w:val="000000"/>
                <w:sz w:val="21"/>
              </w:rPr>
              <w:t>Баринов С.В.</w:t>
            </w:r>
          </w:p>
          <w:p>
            <w:pPr>
              <w:pStyle w:val="Normal"/>
              <w:spacing w:lineRule="auto" w:line="240" w:before="15" w:after="0"/>
              <w:ind w:left="600" w:right="600"/>
              <w:jc w:val="center"/>
              <w:rPr>
                <w:rFonts w:cs="Arial"/>
                <w:color w:val="000000"/>
                <w:sz w:val="21"/>
              </w:rPr>
            </w:pPr>
            <w:r>
              <w:rPr/>
            </w:r>
          </w:p>
        </w:tc>
      </w:tr>
      <w:tr>
        <w:trPr>
          <w:trHeight w:val="39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Прием врача-оториноларинголога </w:t>
            </w:r>
            <w:r>
              <w:rPr>
                <w:rFonts w:cs="Arial"/>
                <w:i/>
                <w:color w:val="000000"/>
                <w:sz w:val="21"/>
              </w:rPr>
              <w:t>(В01.028.001)</w:t>
            </w:r>
          </w:p>
          <w:p>
            <w:pPr>
              <w:pStyle w:val="Normal"/>
              <w:spacing w:lineRule="auto" w:line="240" w:before="180" w:after="0"/>
              <w:ind w:hanging="343" w:left="583" w:right="600"/>
              <w:rPr>
                <w:rFonts w:cs="Arial"/>
                <w:color w:val="000000"/>
                <w:sz w:val="21"/>
              </w:rPr>
            </w:pPr>
            <w:r>
              <w:rPr/>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1200,00</w:t>
            </w:r>
          </w:p>
          <w:p>
            <w:pPr>
              <w:pStyle w:val="Normal"/>
              <w:spacing w:lineRule="auto" w:line="240" w:before="180" w:after="0"/>
              <w:ind w:left="600" w:right="600"/>
              <w:rPr>
                <w:rFonts w:cs="Arial"/>
                <w:color w:val="000000"/>
                <w:sz w:val="21"/>
              </w:rPr>
            </w:pPr>
            <w:r>
              <w:rPr>
                <w:rFonts w:cs="Arial"/>
                <w:color w:val="000000"/>
                <w:sz w:val="21"/>
              </w:rPr>
            </w:r>
          </w:p>
        </w:tc>
      </w:tr>
      <w:tr>
        <w:trPr>
          <w:trHeight w:val="39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Процедуры ЛОР 1 категории:</w:t>
            </w:r>
          </w:p>
          <w:p>
            <w:pPr>
              <w:pStyle w:val="Normal"/>
              <w:spacing w:lineRule="auto" w:line="240" w:before="180" w:after="0"/>
              <w:ind w:left="600" w:right="600"/>
              <w:rPr>
                <w:rFonts w:cs="Arial"/>
                <w:color w:val="000000"/>
                <w:sz w:val="21"/>
              </w:rPr>
            </w:pPr>
            <w:r>
              <w:rPr>
                <w:rFonts w:cs="Arial"/>
                <w:color w:val="000000"/>
                <w:sz w:val="21"/>
              </w:rPr>
              <w:t>вскрытие паратонзиллярного абсцесса,  катетеризация слуховых труб с массажем, вскрытие отогематомы, биопсия гортани, ротоглотки, гортаноглотки</w:t>
            </w:r>
          </w:p>
          <w:p>
            <w:pPr>
              <w:pStyle w:val="Normal"/>
              <w:spacing w:lineRule="auto" w:line="240" w:before="180" w:after="0"/>
              <w:ind w:left="600" w:right="600"/>
              <w:rPr>
                <w:rFonts w:cs="Arial"/>
                <w:i/>
                <w:i/>
                <w:color w:val="000000"/>
                <w:sz w:val="21"/>
              </w:rPr>
            </w:pPr>
            <w:r>
              <w:rPr>
                <w:rFonts w:cs="Arial"/>
                <w:i/>
                <w:color w:val="000000"/>
                <w:sz w:val="21"/>
              </w:rPr>
              <w:t>(А11.08.001, А16.25.036.001, А16.08.012)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1300,00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right="600"/>
              <w:rPr>
                <w:highlight w:val="white"/>
              </w:rPr>
            </w:pPr>
            <w:r>
              <w:rPr>
                <w:rFonts w:cs="Arial"/>
                <w:color w:val="000000"/>
                <w:sz w:val="21"/>
                <w:highlight w:val="white"/>
              </w:rPr>
              <w:t xml:space="preserve">          </w:t>
            </w:r>
            <w:r>
              <w:rPr>
                <w:rFonts w:cs="Arial"/>
                <w:color w:val="000000"/>
                <w:sz w:val="21"/>
                <w:highlight w:val="white"/>
              </w:rPr>
              <w:t>Процедуры ЛОР 2 категории:</w:t>
            </w:r>
          </w:p>
          <w:p>
            <w:pPr>
              <w:pStyle w:val="Normal"/>
              <w:spacing w:lineRule="auto" w:line="240" w:before="180" w:after="0"/>
              <w:ind w:left="600" w:right="600"/>
              <w:rPr>
                <w:highlight w:val="white"/>
              </w:rPr>
            </w:pPr>
            <w:r>
              <w:rPr>
                <w:rFonts w:cs="Arial"/>
                <w:color w:val="000000"/>
                <w:sz w:val="21"/>
                <w:highlight w:val="white"/>
              </w:rPr>
              <w:t>вскрытие абсцесса или гематомы носовой перегородки, удаление полипов полости носа, смена трахеостомической трубки, туалет трахеостомы</w:t>
            </w:r>
            <w:r>
              <w:rPr>
                <w:highlight w:val="white"/>
              </w:rPr>
              <w:t xml:space="preserve"> </w:t>
            </w:r>
            <w:r>
              <w:rPr>
                <w:rFonts w:cs="Arial"/>
                <w:i/>
                <w:color w:val="000000"/>
                <w:sz w:val="21"/>
                <w:highlight w:val="white"/>
              </w:rPr>
              <w:t>А16.08.067, А16.08.009, А16.08.019)</w:t>
            </w:r>
          </w:p>
        </w:tc>
        <w:tc>
          <w:tcPr>
            <w:tcW w:w="2692" w:type="dxa"/>
            <w:tcBorders>
              <w:bottom w:val="single" w:sz="8" w:space="0" w:color="93A8BE"/>
              <w:right w:val="single" w:sz="8" w:space="0" w:color="93A8BE"/>
            </w:tcBorders>
            <w:tcMar>
              <w:left w:w="25" w:type="dxa"/>
            </w:tcMar>
          </w:tcPr>
          <w:p>
            <w:pPr>
              <w:pStyle w:val="Normal"/>
              <w:spacing w:lineRule="auto" w:line="240" w:before="180" w:after="0"/>
              <w:ind w:right="600"/>
              <w:rPr>
                <w:highlight w:val="white"/>
              </w:rPr>
            </w:pPr>
            <w:r>
              <w:rPr>
                <w:rFonts w:cs="Arial"/>
                <w:color w:val="000000"/>
                <w:sz w:val="21"/>
                <w:highlight w:val="white"/>
              </w:rPr>
              <w:t xml:space="preserve">           </w:t>
            </w:r>
            <w:r>
              <w:rPr>
                <w:rFonts w:cs="Arial"/>
                <w:color w:val="000000"/>
                <w:sz w:val="21"/>
                <w:highlight w:val="white"/>
              </w:rPr>
              <w:t>1100,00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Процедуры ЛОР 3 категории:</w:t>
            </w:r>
          </w:p>
          <w:p>
            <w:pPr>
              <w:pStyle w:val="Normal"/>
              <w:spacing w:lineRule="auto" w:line="240" w:before="180" w:after="0"/>
              <w:ind w:left="600" w:right="600"/>
              <w:rPr>
                <w:rFonts w:cs="Arial"/>
                <w:color w:val="000000"/>
                <w:sz w:val="21"/>
              </w:rPr>
            </w:pPr>
            <w:r>
              <w:rPr>
                <w:rFonts w:cs="Arial"/>
                <w:color w:val="000000"/>
                <w:sz w:val="21"/>
              </w:rPr>
              <w:t>пункция гайморовой пазухи с введением лекарственных веществ, удаление инородного тела из гортани, пункция атеромы ушной раковины с лекарством, парацентез барабанной перепонки, инфильтрационная анастезия при заболевании ЛОР-органов, вакуумное дренирование лакун миндалин аппаратом "Тонзилор-М", промывание лакун миндалин лекарственными веществами, удаление доброкачественных опухолей</w:t>
            </w:r>
          </w:p>
          <w:p>
            <w:pPr>
              <w:pStyle w:val="Normal"/>
              <w:spacing w:lineRule="auto" w:line="240" w:before="180" w:after="0"/>
              <w:ind w:left="600" w:right="600"/>
              <w:rPr>
                <w:rFonts w:cs="Arial"/>
                <w:i/>
                <w:i/>
                <w:color w:val="000000"/>
                <w:sz w:val="21"/>
              </w:rPr>
            </w:pPr>
            <w:r>
              <w:rPr>
                <w:rFonts w:cs="Arial"/>
                <w:i/>
                <w:color w:val="000000"/>
                <w:sz w:val="21"/>
              </w:rPr>
              <w:t>(А11.08.004, А16.08.007, А16.08.016)</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900,00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Процедуры ЛОР 4 категории:</w:t>
            </w:r>
          </w:p>
          <w:p>
            <w:pPr>
              <w:pStyle w:val="Normal"/>
              <w:spacing w:lineRule="auto" w:line="240" w:before="180" w:after="0"/>
              <w:ind w:left="600" w:right="600"/>
              <w:rPr>
                <w:rFonts w:cs="Arial"/>
                <w:color w:val="000000"/>
                <w:sz w:val="21"/>
              </w:rPr>
            </w:pPr>
            <w:r>
              <w:rPr>
                <w:rFonts w:cs="Arial"/>
                <w:color w:val="000000"/>
                <w:sz w:val="21"/>
              </w:rPr>
              <w:t>удаление серных пробок с 2-х сторон, первичная хирургическая обработка ЛОР-органов, перемещение лекарственных средств по Проетцу (кукушка), дигностическая пункция иллярного пространства,  передняя тампонада носа (в том числе после кровотечения), задняя тампонада носа (в том числе после кровотечения), промывание аттика по Гартману, эндоназальная блокада, заушная блокада по Солдатову, вскрытие кисты с миндалин с одной стороны</w:t>
            </w:r>
          </w:p>
          <w:p>
            <w:pPr>
              <w:pStyle w:val="Normal"/>
              <w:spacing w:lineRule="auto" w:line="240" w:before="180" w:after="0"/>
              <w:ind w:left="600" w:right="600"/>
              <w:rPr>
                <w:rFonts w:cs="Arial"/>
                <w:i/>
                <w:i/>
                <w:color w:val="000000"/>
                <w:sz w:val="21"/>
              </w:rPr>
            </w:pPr>
            <w:r>
              <w:rPr>
                <w:rFonts w:cs="Arial"/>
                <w:i/>
                <w:color w:val="000000"/>
                <w:sz w:val="21"/>
              </w:rPr>
              <w:t>(А16.25.007, А16.08.006.001, А16.08.006.001, А16.08.006.002, А11.08.007)</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Процедуры ЛОР 5 категории:</w:t>
            </w:r>
          </w:p>
          <w:p>
            <w:pPr>
              <w:pStyle w:val="Normal"/>
              <w:spacing w:lineRule="auto" w:line="240" w:before="180" w:after="0"/>
              <w:ind w:left="600" w:right="600"/>
              <w:rPr>
                <w:rFonts w:cs="Arial"/>
                <w:color w:val="000000"/>
                <w:sz w:val="21"/>
              </w:rPr>
            </w:pPr>
            <w:r>
              <w:rPr>
                <w:rFonts w:cs="Arial"/>
                <w:color w:val="000000"/>
                <w:sz w:val="21"/>
              </w:rPr>
              <w:t>удаление инородного тела из носа, ротоглотки, уха, туалет уха после радикальной операции, промывание гайморовой пазухи через соустье с лекарственными веществами, удаление серных пробок с одной стороны, ультразвуковое определение воспаления в пазухах носа на аппарате СИНУСКАН 201, туалет уха при мезотимпаните, наружном отите, отомикозе</w:t>
            </w:r>
          </w:p>
          <w:p>
            <w:pPr>
              <w:pStyle w:val="Normal"/>
              <w:spacing w:lineRule="auto" w:line="240" w:before="180" w:after="0"/>
              <w:ind w:left="600" w:right="600"/>
              <w:rPr>
                <w:rFonts w:cs="Arial"/>
                <w:i/>
                <w:i/>
                <w:color w:val="000000"/>
                <w:sz w:val="21"/>
              </w:rPr>
            </w:pPr>
            <w:r>
              <w:rPr>
                <w:rFonts w:cs="Arial"/>
                <w:i/>
                <w:color w:val="000000"/>
                <w:sz w:val="21"/>
              </w:rPr>
              <w:t>(А16.08.011, А16.08.007, А16.25.007)</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250,00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Процедуры ЛОР 6 категории:</w:t>
            </w:r>
          </w:p>
          <w:p>
            <w:pPr>
              <w:pStyle w:val="Normal"/>
              <w:spacing w:lineRule="auto" w:line="240" w:before="180" w:after="0"/>
              <w:ind w:left="600" w:right="600"/>
              <w:rPr>
                <w:rFonts w:cs="Arial"/>
                <w:color w:val="000000"/>
                <w:sz w:val="21"/>
              </w:rPr>
            </w:pPr>
            <w:r>
              <w:rPr>
                <w:rFonts w:cs="Arial"/>
                <w:color w:val="000000"/>
                <w:sz w:val="21"/>
              </w:rPr>
              <w:t xml:space="preserve">аппликационная анастезия слизистой носа и гортани, туалет носа, продувание ушей по  Политцеру, анемизация слизистой носа с двух сторон, забор мазков на анализ, инстилляция, аппликация или закладывание лекарственных веществ в ухо или нос, смазывание глотки, турунда в ухо, массаж барабанных перепонок </w:t>
            </w:r>
            <w:r>
              <w:rPr>
                <w:rFonts w:cs="Arial"/>
                <w:i/>
                <w:color w:val="000000"/>
                <w:sz w:val="21"/>
              </w:rPr>
              <w:t>(В01.003.004.004, А11.08.020, А14.26.002)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150,00</w:t>
            </w:r>
          </w:p>
        </w:tc>
      </w:tr>
      <w:tr>
        <w:trPr>
          <w:trHeight w:val="678" w:hRule="atLeast"/>
        </w:trPr>
        <w:tc>
          <w:tcPr>
            <w:tcW w:w="9395" w:type="dxa"/>
            <w:gridSpan w:val="2"/>
            <w:tcBorders>
              <w:left w:val="single" w:sz="8" w:space="0" w:color="93A8BE"/>
              <w:bottom w:val="single" w:sz="8" w:space="0" w:color="93A8BE"/>
              <w:right w:val="single" w:sz="8" w:space="0" w:color="000001"/>
            </w:tcBorders>
          </w:tcPr>
          <w:p>
            <w:pPr>
              <w:pStyle w:val="Normal"/>
              <w:spacing w:lineRule="auto" w:line="240" w:before="180" w:after="0"/>
              <w:ind w:right="600"/>
              <w:rPr>
                <w:rFonts w:cs="Arial"/>
                <w:b/>
                <w:color w:val="000000"/>
                <w:sz w:val="21"/>
              </w:rPr>
            </w:pPr>
            <w:r>
              <w:rPr>
                <w:rFonts w:cs="Arial"/>
                <w:b/>
                <w:color w:val="000000"/>
                <w:sz w:val="21"/>
              </w:rPr>
            </w:r>
          </w:p>
          <w:p>
            <w:pPr>
              <w:pStyle w:val="Normal"/>
              <w:spacing w:lineRule="auto" w:line="240" w:before="180" w:after="0"/>
              <w:ind w:left="600" w:right="600"/>
              <w:jc w:val="center"/>
              <w:rPr>
                <w:rFonts w:cs="Arial"/>
                <w:b/>
                <w:color w:val="000000"/>
                <w:sz w:val="21"/>
              </w:rPr>
            </w:pPr>
            <w:r>
              <w:rPr>
                <w:rFonts w:cs="Arial"/>
                <w:b/>
                <w:color w:val="000000"/>
                <w:sz w:val="21"/>
              </w:rPr>
              <w:t>АКУШЕРСТВО И ГИНЕКОЛОГИЯ</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Прием врача акушера-гинеколога первичный (в том числе детского) </w:t>
            </w:r>
            <w:r>
              <w:rPr>
                <w:rFonts w:cs="Arial"/>
                <w:i/>
                <w:color w:val="000000"/>
                <w:sz w:val="21"/>
              </w:rPr>
              <w:t>(В01.001.001)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1300,00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Прием врача акушера-гинеколога (в том числе детского) повторный в течение 3 месяцев от первичного приема</w:t>
            </w:r>
          </w:p>
          <w:p>
            <w:pPr>
              <w:pStyle w:val="Normal"/>
              <w:spacing w:lineRule="auto" w:line="240" w:before="180" w:after="0"/>
              <w:ind w:left="600" w:right="600"/>
              <w:rPr>
                <w:rFonts w:cs="Arial"/>
                <w:i/>
                <w:i/>
                <w:color w:val="000000"/>
                <w:sz w:val="21"/>
              </w:rPr>
            </w:pPr>
            <w:r>
              <w:rPr>
                <w:rFonts w:cs="Arial"/>
                <w:i/>
                <w:color w:val="000000"/>
                <w:sz w:val="21"/>
              </w:rPr>
              <w:t>(В01.001.002)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1100,00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Прием врача акушера-гинеколога - наблюдение по беременности</w:t>
            </w:r>
          </w:p>
          <w:p>
            <w:pPr>
              <w:pStyle w:val="Normal"/>
              <w:spacing w:lineRule="auto" w:line="240" w:before="180" w:after="0"/>
              <w:ind w:left="600" w:right="600"/>
              <w:rPr>
                <w:rFonts w:cs="Arial"/>
                <w:i/>
                <w:i/>
                <w:color w:val="000000"/>
                <w:sz w:val="21"/>
              </w:rPr>
            </w:pPr>
            <w:r>
              <w:rPr>
                <w:rFonts w:cs="Arial"/>
                <w:i/>
                <w:color w:val="000000"/>
                <w:sz w:val="21"/>
              </w:rPr>
              <w:t>(В01.001.005)</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1300,00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Постановка на учет беременности</w:t>
            </w:r>
          </w:p>
          <w:p>
            <w:pPr>
              <w:pStyle w:val="Normal"/>
              <w:spacing w:lineRule="auto" w:line="240" w:before="180" w:after="0"/>
              <w:ind w:left="600" w:right="600"/>
              <w:rPr>
                <w:rFonts w:cs="Arial"/>
                <w:i/>
                <w:i/>
                <w:color w:val="000000"/>
                <w:sz w:val="21"/>
              </w:rPr>
            </w:pPr>
            <w:r>
              <w:rPr>
                <w:rFonts w:cs="Arial"/>
                <w:i/>
                <w:color w:val="000000"/>
                <w:sz w:val="21"/>
              </w:rPr>
              <w:t>(В01.001.004)</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1700,00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Запись КТГ (кардиотокография)</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(В03.001.003)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500,00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240" w:right="600"/>
              <w:rPr>
                <w:rFonts w:cs="Arial"/>
                <w:color w:val="000000"/>
                <w:sz w:val="21"/>
                <w:highlight w:val="white"/>
              </w:rPr>
            </w:pPr>
            <w:r>
              <w:rPr>
                <w:rFonts w:cs="Arial"/>
                <w:color w:val="000000"/>
                <w:sz w:val="21"/>
                <w:highlight w:val="white"/>
              </w:rPr>
              <w:t>     </w:t>
            </w:r>
            <w:r>
              <w:rPr>
                <w:rFonts w:cs="Arial"/>
                <w:color w:val="000000"/>
                <w:sz w:val="21"/>
                <w:highlight w:val="white"/>
              </w:rPr>
              <w:t>Кольпоскопия</w:t>
            </w:r>
          </w:p>
          <w:p>
            <w:pPr>
              <w:pStyle w:val="Normal"/>
              <w:spacing w:lineRule="auto" w:line="240" w:before="180" w:after="0"/>
              <w:ind w:left="240" w:right="600"/>
              <w:rPr>
                <w:highlight w:val="white"/>
              </w:rPr>
            </w:pPr>
            <w:r>
              <w:rPr>
                <w:rFonts w:cs="Arial"/>
                <w:color w:val="000000"/>
                <w:sz w:val="21"/>
                <w:highlight w:val="white"/>
              </w:rPr>
              <w:t>     </w:t>
            </w:r>
            <w:r>
              <w:rPr>
                <w:rFonts w:cs="Arial"/>
                <w:i/>
                <w:color w:val="000000"/>
                <w:sz w:val="21"/>
                <w:highlight w:val="white"/>
              </w:rPr>
              <w:t>(А03.20.001)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850,00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Введение ВМК (без стоимости ВМК) и удаление ВМК (без стоимости цитологического исследования)</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(А11.20.014, А11.20.015)</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1000,00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Гистеросальпингосонография с двухэтапным контрастированием (ЭХО ГСГ) </w:t>
            </w:r>
            <w:r>
              <w:rPr>
                <w:rFonts w:cs="Arial"/>
                <w:i/>
                <w:color w:val="000000"/>
                <w:sz w:val="21"/>
                <w:highlight w:val="white"/>
              </w:rPr>
              <w:t>(А06.20.001)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4500,00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highlight w:val="white"/>
              </w:rPr>
            </w:pPr>
            <w:r>
              <w:rPr>
                <w:rFonts w:cs="Arial"/>
                <w:color w:val="000000"/>
                <w:sz w:val="21"/>
                <w:highlight w:val="white"/>
              </w:rPr>
              <w:t>Аспирационная биопсия эндометрия (пайпель-биопсия) (гистологическое исследование оплачивается отдельно) </w:t>
            </w:r>
            <w:r>
              <w:rPr>
                <w:rFonts w:cs="Arial"/>
                <w:i/>
                <w:color w:val="000000"/>
                <w:sz w:val="21"/>
                <w:highlight w:val="white"/>
              </w:rPr>
              <w:t>(А11.20.003)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1900,00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Биопсия шейки матки(гистологическое исследование оплачивается отдельно)</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(А11.20.011)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1900,00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highlight w:val="white"/>
              </w:rPr>
            </w:pPr>
            <w:r>
              <w:rPr>
                <w:rFonts w:cs="Arial"/>
                <w:color w:val="000000"/>
                <w:sz w:val="21"/>
                <w:highlight w:val="white"/>
              </w:rPr>
              <w:t>Радиоволновое лечение шейки матки(гистологическое исследование оплачивается отдельно)</w:t>
            </w:r>
            <w:r>
              <w:rPr>
                <w:rFonts w:cs="Arial"/>
                <w:i/>
                <w:color w:val="000000"/>
                <w:sz w:val="21"/>
                <w:highlight w:val="white"/>
              </w:rPr>
              <w:t>(А16.20.036.003)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3000,00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Удаление полипа цервикального канала (гистологическое исследование оплачивается отдельно)</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2200,00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Повторное радиоволновое лечение шейки матки (в течение 3х месяцев от первичной процедуры)</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(А16.20.036.003)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1000,00</w:t>
            </w:r>
          </w:p>
        </w:tc>
      </w:tr>
      <w:tr>
        <w:trPr>
          <w:trHeight w:val="94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Радиоволновая конизация шейки матки с парацервикальной блокадой 2% лидокаином (гистологическое исследование оплачивается отдельно)</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(А16.20.036.003)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4500,00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Замена маточного кольца, гинекологическая обработка</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Забор анализа мазка</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(А11.20.002)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Местное обезболивание 10% лидокаином</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(В01.003.004.001)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150,00</w:t>
            </w:r>
          </w:p>
        </w:tc>
      </w:tr>
      <w:tr>
        <w:trPr>
          <w:trHeight w:val="653"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Парацервикальная блокада</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450,00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Спермологический анализ</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(В03.053.002)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1200,00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Спермологический анализ (с МАР тестом)</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(В03.053.002)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2</w:t>
            </w:r>
            <w:r>
              <w:rPr>
                <w:rFonts w:cs="Arial"/>
                <w:color w:val="000000"/>
                <w:sz w:val="21"/>
                <w:highlight w:val="white"/>
                <w:lang w:val="en-US"/>
              </w:rPr>
              <w:t>6</w:t>
            </w:r>
            <w:r>
              <w:rPr>
                <w:rFonts w:cs="Arial"/>
                <w:color w:val="000000"/>
                <w:sz w:val="21"/>
                <w:highlight w:val="white"/>
              </w:rPr>
              <w:t>00,00</w:t>
            </w:r>
          </w:p>
        </w:tc>
      </w:tr>
      <w:tr>
        <w:trPr>
          <w:trHeight w:val="435"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80" w:after="0"/>
              <w:ind w:right="600"/>
              <w:rPr>
                <w:rFonts w:cs="Arial"/>
                <w:b/>
                <w:color w:val="000000"/>
                <w:sz w:val="21"/>
              </w:rPr>
            </w:pPr>
            <w:r>
              <w:rPr/>
            </w:r>
          </w:p>
          <w:p>
            <w:pPr>
              <w:pStyle w:val="Normal"/>
              <w:spacing w:lineRule="auto" w:line="240" w:before="180" w:after="0"/>
              <w:ind w:left="600" w:right="600"/>
              <w:jc w:val="center"/>
              <w:rPr>
                <w:rFonts w:cs="Arial"/>
                <w:b/>
                <w:color w:val="000000"/>
                <w:sz w:val="21"/>
              </w:rPr>
            </w:pPr>
            <w:r>
              <w:rPr>
                <w:rFonts w:cs="Arial"/>
                <w:b/>
                <w:color w:val="000000"/>
                <w:sz w:val="21"/>
              </w:rPr>
              <w:t>УЛЬТРАЗВУКОВАЯ ДИАГНОСТИКА</w:t>
            </w:r>
          </w:p>
        </w:tc>
      </w:tr>
      <w:tr>
        <w:trPr>
          <w:trHeight w:val="43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УЗДГ сосудов шеи</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1700,00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УЗДГ сосудов головы и шеи</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УЗДГ артерий и вен двух верхних конечностей</w:t>
            </w:r>
          </w:p>
          <w:p>
            <w:pPr>
              <w:pStyle w:val="Normal"/>
              <w:spacing w:lineRule="auto" w:line="240" w:before="180" w:after="0"/>
              <w:ind w:left="600" w:right="600"/>
              <w:rPr>
                <w:rFonts w:cs="Arial"/>
                <w:i/>
                <w:i/>
                <w:color w:val="000000"/>
                <w:sz w:val="21"/>
              </w:rPr>
            </w:pPr>
            <w:r>
              <w:rPr>
                <w:rFonts w:cs="Arial"/>
                <w:i/>
                <w:color w:val="000000"/>
                <w:sz w:val="21"/>
              </w:rPr>
              <w:t>(А04.12.002)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УЗДГ артерий двух верхних конечностей</w:t>
            </w:r>
          </w:p>
          <w:p>
            <w:pPr>
              <w:pStyle w:val="Normal"/>
              <w:spacing w:lineRule="auto" w:line="240" w:before="180" w:after="0"/>
              <w:ind w:left="600" w:right="600"/>
              <w:rPr>
                <w:rFonts w:cs="Arial"/>
                <w:i/>
                <w:i/>
                <w:color w:val="000000"/>
                <w:sz w:val="21"/>
              </w:rPr>
            </w:pPr>
            <w:r>
              <w:rPr>
                <w:rFonts w:cs="Arial"/>
                <w:i/>
                <w:color w:val="000000"/>
                <w:sz w:val="21"/>
              </w:rPr>
              <w:t>(А04.12.001)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УЗДГ вен двух верхних конечностей</w:t>
            </w:r>
          </w:p>
          <w:p>
            <w:pPr>
              <w:pStyle w:val="Normal"/>
              <w:spacing w:lineRule="auto" w:line="240" w:before="180" w:after="0"/>
              <w:ind w:left="600" w:right="600"/>
              <w:rPr>
                <w:rFonts w:cs="Arial"/>
                <w:i/>
                <w:i/>
                <w:color w:val="000000"/>
                <w:sz w:val="21"/>
              </w:rPr>
            </w:pPr>
            <w:r>
              <w:rPr>
                <w:rFonts w:cs="Arial"/>
                <w:i/>
                <w:color w:val="000000"/>
                <w:sz w:val="21"/>
              </w:rPr>
              <w:t>(А04.12.002.003)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УЗДГ артерий нижних конечностей</w:t>
            </w:r>
          </w:p>
          <w:p>
            <w:pPr>
              <w:pStyle w:val="Normal"/>
              <w:spacing w:lineRule="auto" w:line="240" w:before="180" w:after="0"/>
              <w:ind w:left="600" w:right="600"/>
              <w:rPr>
                <w:rFonts w:cs="Arial"/>
                <w:i/>
                <w:i/>
                <w:color w:val="000000"/>
                <w:sz w:val="21"/>
              </w:rPr>
            </w:pPr>
            <w:r>
              <w:rPr>
                <w:rFonts w:cs="Arial"/>
                <w:i/>
                <w:color w:val="000000"/>
                <w:sz w:val="21"/>
              </w:rPr>
              <w:t>(А04.12.001.001)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1600,00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УЗДГ вен нижних конечностей</w:t>
            </w:r>
          </w:p>
          <w:p>
            <w:pPr>
              <w:pStyle w:val="Normal"/>
              <w:spacing w:lineRule="auto" w:line="240" w:before="180" w:after="0"/>
              <w:ind w:left="600" w:right="600"/>
              <w:rPr>
                <w:rFonts w:cs="Arial"/>
                <w:i/>
                <w:i/>
                <w:color w:val="000000"/>
                <w:sz w:val="21"/>
              </w:rPr>
            </w:pPr>
            <w:r>
              <w:rPr>
                <w:rFonts w:cs="Arial"/>
                <w:i/>
                <w:color w:val="000000"/>
                <w:sz w:val="21"/>
              </w:rPr>
              <w:t>(А04.12.002.002)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1600,00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УЗДГ артерий и вен двух нижних конечностей </w:t>
            </w:r>
            <w:r>
              <w:rPr>
                <w:rFonts w:cs="Arial"/>
                <w:i/>
                <w:color w:val="000000"/>
                <w:sz w:val="21"/>
              </w:rPr>
              <w:t>(А04.12.002.001)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3000,00</w:t>
            </w:r>
          </w:p>
        </w:tc>
      </w:tr>
      <w:tr>
        <w:trPr>
          <w:trHeight w:val="717"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брюшного отдела аорты</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1600,00</w:t>
            </w:r>
          </w:p>
        </w:tc>
      </w:tr>
      <w:tr>
        <w:trPr>
          <w:trHeight w:val="618"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сердца </w:t>
            </w:r>
            <w:r>
              <w:rPr>
                <w:rFonts w:cs="Arial"/>
                <w:i/>
                <w:color w:val="000000"/>
                <w:sz w:val="21"/>
              </w:rPr>
              <w:t>(А04.10.002)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1400,00</w:t>
            </w:r>
          </w:p>
        </w:tc>
      </w:tr>
      <w:tr>
        <w:trPr>
          <w:trHeight w:val="94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предстательной железы + мочевой пузырь с определением остаточной мочи (трансабдоминально и трансректально) (ТРУЗИ)</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(А04.21.001, А04.21.001.001)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1400,00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предстательной железы + мочевой пузырь с определением остаточной мочи (трансабдоминально)</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(А04.21.001)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900,00</w:t>
            </w:r>
          </w:p>
        </w:tc>
      </w:tr>
      <w:tr>
        <w:trPr>
          <w:trHeight w:val="1066"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мошонки с допплерографией</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(А04.28.003)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1200,00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органов брюшной полости, почек, надпочечников (комплекс)</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(А04.16.001)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rPr>
              <w:t>1400,00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органов брюшной полости (без почек)</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(А04.06.001, А04.14.001, А04.14.002, А04.15.001)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1000,00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почек + надпочечники + мочевой пузырь с определением остаточной мочи</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(А04.28.002.001, А04.28.002.005)</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1000,00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 xml:space="preserve">УЗИ почек + надпочечники </w:t>
            </w:r>
            <w:r>
              <w:rPr>
                <w:rFonts w:cs="Arial"/>
                <w:i/>
                <w:color w:val="000000"/>
                <w:sz w:val="21"/>
                <w:highlight w:val="white"/>
              </w:rPr>
              <w:t>(А04.28.002.001)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Fonts w:cs="Arial"/>
                <w:color w:val="000000"/>
                <w:sz w:val="21"/>
                <w:highlight w:val="white"/>
              </w:rPr>
              <w:t>800,00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почек + надпочечники +сосуды почек</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(А04.28.002.001)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1200,00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печени + желчного пузыря</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(А04.14.001, А04.14.002)</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highlight w:val="white"/>
              </w:rPr>
            </w:pPr>
            <w:r>
              <w:rPr>
                <w:rFonts w:cs="Arial"/>
                <w:color w:val="000000"/>
                <w:sz w:val="21"/>
                <w:highlight w:val="white"/>
              </w:rPr>
              <w:t>800,00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желчного пузыря с нагрузкой</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(А04.14.002.001)</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highlight w:val="white"/>
              </w:rPr>
            </w:pPr>
            <w:r>
              <w:rPr>
                <w:rFonts w:cs="Arial"/>
                <w:color w:val="000000"/>
                <w:sz w:val="21"/>
                <w:highlight w:val="white"/>
              </w:rPr>
              <w:t>1500,00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поджелудочной железы</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(А04.15.001)</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highlight w:val="white"/>
              </w:rPr>
            </w:pPr>
            <w:r>
              <w:rPr>
                <w:rFonts w:cs="Arial"/>
                <w:color w:val="000000"/>
                <w:sz w:val="21"/>
                <w:highlight w:val="white"/>
              </w:rPr>
              <w:t>800,00</w:t>
            </w:r>
          </w:p>
        </w:tc>
      </w:tr>
      <w:tr>
        <w:trPr>
          <w:trHeight w:val="66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highlight w:val="white"/>
              </w:rPr>
            </w:pPr>
            <w:r>
              <w:rPr>
                <w:rFonts w:cs="Arial"/>
                <w:color w:val="000000"/>
                <w:sz w:val="21"/>
                <w:highlight w:val="white"/>
              </w:rPr>
              <w:t>УЗИ селезенки</w:t>
            </w:r>
            <w:r>
              <w:rPr>
                <w:highlight w:val="white"/>
              </w:rPr>
              <w:t xml:space="preserve"> </w:t>
            </w:r>
            <w:r>
              <w:rPr>
                <w:rFonts w:cs="Arial"/>
                <w:i/>
                <w:color w:val="000000"/>
                <w:sz w:val="21"/>
                <w:highlight w:val="white"/>
              </w:rPr>
              <w:t>(А04.06.001)</w:t>
            </w:r>
          </w:p>
        </w:tc>
        <w:tc>
          <w:tcPr>
            <w:tcW w:w="2692" w:type="dxa"/>
            <w:tcBorders>
              <w:bottom w:val="single" w:sz="8" w:space="0" w:color="93A8BE"/>
              <w:right w:val="single" w:sz="8" w:space="0" w:color="93A8BE"/>
            </w:tcBorders>
            <w:tcMar>
              <w:left w:w="25" w:type="dxa"/>
            </w:tcMar>
            <w:vAlign w:val="center"/>
          </w:tcPr>
          <w:p>
            <w:pPr>
              <w:pStyle w:val="Normal"/>
              <w:spacing w:lineRule="auto" w:line="240" w:before="0" w:after="0"/>
              <w:ind w:right="600"/>
              <w:rPr>
                <w:highlight w:val="white"/>
              </w:rPr>
            </w:pPr>
            <w:r>
              <w:rPr>
                <w:rFonts w:cs="Arial"/>
                <w:color w:val="000000"/>
                <w:sz w:val="21"/>
                <w:highlight w:val="white"/>
              </w:rPr>
              <w:t xml:space="preserve">          </w:t>
            </w:r>
            <w:r>
              <w:rPr>
                <w:rFonts w:cs="Arial"/>
                <w:color w:val="000000"/>
                <w:sz w:val="21"/>
                <w:highlight w:val="white"/>
              </w:rPr>
              <w:t>800,00</w:t>
            </w:r>
          </w:p>
        </w:tc>
      </w:tr>
      <w:tr>
        <w:trPr>
          <w:trHeight w:val="633"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 xml:space="preserve">УЗИ плевральной полости </w:t>
            </w:r>
            <w:r>
              <w:rPr>
                <w:rFonts w:cs="Arial"/>
                <w:i/>
                <w:color w:val="000000"/>
                <w:sz w:val="21"/>
                <w:highlight w:val="white"/>
              </w:rPr>
              <w:t>(А04.09.001)</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rFonts w:cs="Arial"/>
                <w:color w:val="000000"/>
                <w:sz w:val="21"/>
                <w:highlight w:val="white"/>
              </w:rPr>
            </w:pPr>
            <w:r>
              <w:rPr>
                <w:rFonts w:cs="Arial"/>
                <w:color w:val="000000"/>
                <w:sz w:val="21"/>
                <w:highlight w:val="white"/>
              </w:rPr>
            </w:r>
          </w:p>
          <w:p>
            <w:pPr>
              <w:pStyle w:val="Normal"/>
              <w:spacing w:lineRule="auto" w:line="240" w:before="0" w:after="0"/>
              <w:ind w:left="600" w:right="600"/>
              <w:rPr>
                <w:highlight w:val="white"/>
              </w:rPr>
            </w:pPr>
            <w:r>
              <w:rPr>
                <w:rFonts w:cs="Arial"/>
                <w:color w:val="000000"/>
                <w:sz w:val="21"/>
                <w:highlight w:val="white"/>
              </w:rPr>
              <w:t>800,00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highlight w:val="white"/>
              </w:rPr>
            </w:pPr>
            <w:r>
              <w:rPr>
                <w:rFonts w:cs="Arial"/>
                <w:color w:val="000000"/>
                <w:sz w:val="21"/>
                <w:highlight w:val="white"/>
              </w:rPr>
              <w:t>УЗИ мочевого пузыря с определением остаточной мочи </w:t>
            </w:r>
            <w:r>
              <w:rPr>
                <w:rFonts w:cs="Arial"/>
                <w:i/>
                <w:color w:val="000000"/>
                <w:sz w:val="21"/>
                <w:highlight w:val="white"/>
              </w:rPr>
              <w:t>(А04.28.002.005)</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highlight w:val="white"/>
              </w:rPr>
            </w:pPr>
            <w:r>
              <w:rPr>
                <w:rFonts w:cs="Arial"/>
                <w:color w:val="000000"/>
                <w:sz w:val="21"/>
                <w:highlight w:val="white"/>
              </w:rPr>
              <w:t>600,00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слюнных желез</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(А04.07.002)</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highlight w:val="white"/>
              </w:rPr>
            </w:pPr>
            <w:r>
              <w:rPr/>
            </w:r>
          </w:p>
          <w:p>
            <w:pPr>
              <w:pStyle w:val="Normal"/>
              <w:spacing w:lineRule="auto" w:line="240" w:before="0" w:after="0"/>
              <w:ind w:left="600" w:right="600"/>
              <w:rPr>
                <w:highlight w:val="white"/>
              </w:rPr>
            </w:pPr>
            <w:r>
              <w:rPr>
                <w:rFonts w:cs="Arial"/>
                <w:color w:val="000000"/>
                <w:sz w:val="21"/>
                <w:highlight w:val="white"/>
              </w:rPr>
              <w:t>800,00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мягких тканей (+ 200,00 руб за зону)</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(А04.01.001)</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rFonts w:cs="Arial"/>
                <w:color w:val="000000"/>
                <w:sz w:val="21"/>
                <w:highlight w:val="white"/>
              </w:rPr>
            </w:pPr>
            <w:r>
              <w:rPr/>
            </w:r>
          </w:p>
          <w:p>
            <w:pPr>
              <w:pStyle w:val="Normal"/>
              <w:spacing w:lineRule="auto" w:line="240" w:before="0" w:after="0"/>
              <w:ind w:left="600" w:right="600"/>
              <w:rPr>
                <w:rFonts w:cs="Arial"/>
                <w:color w:val="000000"/>
                <w:sz w:val="21"/>
                <w:highlight w:val="white"/>
              </w:rPr>
            </w:pPr>
            <w:r>
              <w:rPr>
                <w:rFonts w:cs="Arial"/>
                <w:color w:val="000000"/>
                <w:sz w:val="21"/>
                <w:highlight w:val="white"/>
              </w:rPr>
              <w:t>700,00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УЗИ лимфоузлов  1 группы: </w:t>
            </w:r>
            <w:r>
              <w:rPr>
                <w:rFonts w:cs="Arial"/>
                <w:i/>
                <w:color w:val="000000"/>
                <w:sz w:val="21"/>
                <w:highlight w:val="white"/>
              </w:rPr>
              <w:t>(А04.04.002)</w:t>
            </w:r>
          </w:p>
          <w:p>
            <w:pPr>
              <w:pStyle w:val="Normal"/>
              <w:spacing w:lineRule="auto" w:line="240" w:before="180" w:after="0"/>
              <w:ind w:left="600" w:right="600"/>
              <w:rPr>
                <w:highlight w:val="white"/>
              </w:rPr>
            </w:pPr>
            <w:r>
              <w:rPr>
                <w:rFonts w:cs="Arial"/>
                <w:color w:val="000000"/>
                <w:sz w:val="21"/>
                <w:highlight w:val="white"/>
              </w:rPr>
              <w:t>затылочные, заушные, подчелюстные и подбородочные, шейные (передние и задние), надключичные, подключичные, подмышечные, паховые, подколенные</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t> </w:t>
            </w:r>
            <w:r>
              <w:rPr>
                <w:rFonts w:cs="Arial"/>
                <w:color w:val="000000"/>
                <w:sz w:val="21"/>
                <w:highlight w:val="white"/>
              </w:rPr>
              <w:t>300,00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2 групп лимфоузлов </w:t>
            </w:r>
            <w:r>
              <w:rPr>
                <w:rFonts w:cs="Arial"/>
                <w:i/>
                <w:color w:val="000000"/>
                <w:sz w:val="21"/>
              </w:rPr>
              <w:t>(А04.06.002)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3 групп лимфоузлов </w:t>
            </w:r>
            <w:r>
              <w:rPr>
                <w:rFonts w:cs="Arial"/>
                <w:i/>
                <w:color w:val="000000"/>
                <w:sz w:val="21"/>
              </w:rPr>
              <w:t>(А04.06.002)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500,00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4 групп лимфоузлов </w:t>
            </w:r>
            <w:r>
              <w:rPr>
                <w:rFonts w:cs="Arial"/>
                <w:i/>
                <w:color w:val="000000"/>
                <w:sz w:val="21"/>
              </w:rPr>
              <w:t>(А04.06.002)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600,00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5 групп лимфоузлов </w:t>
            </w:r>
            <w:r>
              <w:rPr>
                <w:rFonts w:cs="Arial"/>
                <w:i/>
                <w:color w:val="000000"/>
                <w:sz w:val="21"/>
              </w:rPr>
              <w:t>(А04.06.002)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700,00</w:t>
            </w:r>
          </w:p>
        </w:tc>
      </w:tr>
      <w:tr>
        <w:trPr>
          <w:trHeight w:val="59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6 групп лимфоузлов </w:t>
            </w:r>
            <w:r>
              <w:rPr>
                <w:rFonts w:cs="Arial"/>
                <w:i/>
                <w:color w:val="000000"/>
                <w:sz w:val="21"/>
              </w:rPr>
              <w:t>(А04.06.002)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800,00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7 групп лимфоузлов </w:t>
            </w:r>
            <w:r>
              <w:rPr>
                <w:rFonts w:cs="Arial"/>
                <w:i/>
                <w:color w:val="000000"/>
                <w:sz w:val="21"/>
              </w:rPr>
              <w:t>(А04.06.002)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900,00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УЗИ  8 групп и более лимфоузлов</w:t>
            </w:r>
          </w:p>
          <w:p>
            <w:pPr>
              <w:pStyle w:val="Normal"/>
              <w:spacing w:lineRule="auto" w:line="240" w:before="180" w:after="0"/>
              <w:ind w:left="600" w:right="600"/>
              <w:rPr>
                <w:rFonts w:cs="Arial"/>
                <w:i/>
                <w:i/>
                <w:color w:val="000000"/>
                <w:sz w:val="21"/>
              </w:rPr>
            </w:pPr>
            <w:r>
              <w:rPr>
                <w:rFonts w:cs="Arial"/>
                <w:i/>
                <w:color w:val="000000"/>
                <w:sz w:val="21"/>
              </w:rPr>
              <w:t>(А04.06.002)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УЗИ вилочковой железы</w:t>
            </w:r>
          </w:p>
          <w:p>
            <w:pPr>
              <w:pStyle w:val="Normal"/>
              <w:spacing w:lineRule="auto" w:line="240" w:before="180" w:after="0"/>
              <w:ind w:left="600" w:right="600"/>
              <w:rPr>
                <w:rFonts w:cs="Arial"/>
                <w:i/>
                <w:i/>
                <w:color w:val="000000"/>
                <w:sz w:val="21"/>
              </w:rPr>
            </w:pPr>
            <w:r>
              <w:rPr>
                <w:rFonts w:cs="Arial"/>
                <w:i/>
                <w:color w:val="000000"/>
                <w:sz w:val="21"/>
              </w:rPr>
              <w:t>(А04.06.003)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700,00</w:t>
            </w:r>
          </w:p>
        </w:tc>
      </w:tr>
      <w:tr>
        <w:trPr>
          <w:trHeight w:val="1308"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щитовидной железы </w:t>
            </w:r>
          </w:p>
          <w:p>
            <w:pPr>
              <w:pStyle w:val="Normal"/>
              <w:spacing w:lineRule="auto" w:line="240" w:before="180" w:after="0"/>
              <w:ind w:left="600" w:right="600"/>
              <w:rPr>
                <w:rFonts w:cs="Arial"/>
                <w:i/>
                <w:i/>
                <w:color w:val="000000"/>
                <w:sz w:val="21"/>
              </w:rPr>
            </w:pPr>
            <w:r>
              <w:rPr>
                <w:rFonts w:cs="Arial"/>
                <w:i/>
                <w:color w:val="000000"/>
                <w:sz w:val="21"/>
              </w:rPr>
              <w:t>(А04.22.001)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900,00</w:t>
            </w:r>
          </w:p>
          <w:p>
            <w:pPr>
              <w:pStyle w:val="Normal"/>
              <w:spacing w:lineRule="auto" w:line="240" w:before="180" w:after="0"/>
              <w:ind w:left="600" w:right="600"/>
              <w:rPr>
                <w:rFonts w:cs="Arial"/>
                <w:color w:val="000000"/>
                <w:sz w:val="21"/>
              </w:rPr>
            </w:pPr>
            <w:r>
              <w:rPr/>
            </w:r>
          </w:p>
        </w:tc>
      </w:tr>
      <w:tr>
        <w:trPr>
          <w:trHeight w:val="583"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молочных желез </w:t>
            </w:r>
            <w:r>
              <w:rPr>
                <w:rFonts w:cs="Arial"/>
                <w:i/>
                <w:color w:val="000000"/>
                <w:sz w:val="21"/>
              </w:rPr>
              <w:t>(А04.20.002)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УЗИ органов малого таза (трансабдоминально и трансвагинально/трансректально)</w:t>
            </w:r>
          </w:p>
          <w:p>
            <w:pPr>
              <w:pStyle w:val="Normal"/>
              <w:spacing w:lineRule="auto" w:line="240" w:before="180" w:after="0"/>
              <w:ind w:left="600" w:right="600"/>
              <w:rPr>
                <w:rFonts w:cs="Arial"/>
                <w:i/>
                <w:i/>
                <w:color w:val="000000"/>
                <w:sz w:val="21"/>
              </w:rPr>
            </w:pPr>
            <w:r>
              <w:rPr>
                <w:rFonts w:cs="Arial"/>
                <w:i/>
                <w:color w:val="000000"/>
                <w:sz w:val="21"/>
              </w:rPr>
              <w:t>(А04.30.010)</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УЗИ органов малого таза трансабдоминально</w:t>
            </w:r>
          </w:p>
          <w:p>
            <w:pPr>
              <w:pStyle w:val="Normal"/>
              <w:spacing w:lineRule="auto" w:line="240" w:before="180" w:after="0"/>
              <w:ind w:left="600" w:right="600"/>
              <w:rPr>
                <w:rFonts w:cs="Arial"/>
                <w:i/>
                <w:i/>
                <w:color w:val="000000"/>
                <w:sz w:val="21"/>
              </w:rPr>
            </w:pPr>
            <w:r>
              <w:rPr>
                <w:rFonts w:cs="Arial"/>
                <w:i/>
                <w:color w:val="000000"/>
                <w:sz w:val="21"/>
              </w:rPr>
              <w:t>(А04.20.001)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1000,00</w:t>
            </w:r>
          </w:p>
        </w:tc>
      </w:tr>
      <w:tr>
        <w:trPr>
          <w:trHeight w:val="422"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малого срока беременности для подтверждения беременности до 10 недель </w:t>
            </w:r>
            <w:r>
              <w:rPr>
                <w:rFonts w:cs="Arial"/>
                <w:i/>
                <w:color w:val="000000"/>
                <w:sz w:val="21"/>
              </w:rPr>
              <w:t xml:space="preserve"> (В03.001.001)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800,00</w:t>
            </w:r>
          </w:p>
          <w:p>
            <w:pPr>
              <w:pStyle w:val="Normal"/>
              <w:spacing w:lineRule="auto" w:line="240" w:before="180" w:after="0"/>
              <w:ind w:left="600" w:right="600"/>
              <w:rPr>
                <w:rFonts w:cs="Arial"/>
                <w:color w:val="000000"/>
                <w:sz w:val="21"/>
              </w:rPr>
            </w:pPr>
            <w:r>
              <w:rPr>
                <w:rFonts w:cs="Arial"/>
                <w:color w:val="000000"/>
                <w:sz w:val="21"/>
              </w:rPr>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при беременности в 10 -18 недель (не является пренатальным скринингом) </w:t>
            </w:r>
            <w:r>
              <w:rPr>
                <w:rFonts w:cs="Arial"/>
                <w:b/>
                <w:color w:val="000000"/>
                <w:sz w:val="18"/>
                <w:szCs w:val="18"/>
              </w:rPr>
              <w:t xml:space="preserve">При многоплодной беременности +50% от стоимости исследования. </w:t>
            </w:r>
            <w:r>
              <w:rPr>
                <w:rFonts w:cs="Arial"/>
                <w:i/>
                <w:color w:val="000000"/>
                <w:sz w:val="21"/>
              </w:rPr>
              <w:t>(В03.001.003)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1300,00</w:t>
            </w:r>
            <w:bookmarkStart w:id="0" w:name="_GoBack"/>
            <w:bookmarkEnd w:id="0"/>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при беременности с 11-14 недель (1 скрининг)   </w:t>
            </w:r>
            <w:r>
              <w:rPr>
                <w:rFonts w:cs="Arial"/>
                <w:b/>
                <w:color w:val="000000"/>
                <w:sz w:val="18"/>
                <w:szCs w:val="18"/>
              </w:rPr>
              <w:t>При многоплодной беременности +50% от стоимости исследования.</w:t>
            </w:r>
            <w:r>
              <w:rPr>
                <w:rFonts w:cs="Arial"/>
                <w:color w:val="000000"/>
                <w:sz w:val="21"/>
              </w:rPr>
              <w:t xml:space="preserve"> </w:t>
            </w:r>
            <w:r>
              <w:rPr>
                <w:rFonts w:cs="Arial"/>
                <w:i/>
                <w:color w:val="000000"/>
                <w:sz w:val="21"/>
              </w:rPr>
              <w:t>(А04.30.001.007)</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1800,00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при беременности более 18 недель (фетометрия, без доплера, не является пренатальным скринингом) / определение размера плода по неделям.                    </w:t>
            </w:r>
            <w:r>
              <w:rPr>
                <w:rFonts w:cs="Arial"/>
                <w:b/>
                <w:color w:val="000000"/>
                <w:sz w:val="18"/>
                <w:szCs w:val="18"/>
              </w:rPr>
              <w:t>При многоплодной беременности +50% от стоимости исследования.</w:t>
            </w:r>
            <w:r>
              <w:rPr>
                <w:rFonts w:cs="Arial"/>
                <w:color w:val="000000"/>
                <w:sz w:val="21"/>
              </w:rPr>
              <w:t xml:space="preserve"> </w:t>
            </w:r>
            <w:r>
              <w:rPr>
                <w:rFonts w:cs="Arial"/>
                <w:i/>
                <w:color w:val="000000"/>
                <w:sz w:val="21"/>
              </w:rPr>
              <w:t>(В03.001.003)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1500,00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при беременности 18-30 недель (фетометрия +доплер, не является пренатальным скринингом)      </w:t>
            </w:r>
            <w:r>
              <w:rPr>
                <w:rFonts w:cs="Arial"/>
                <w:b/>
                <w:color w:val="000000"/>
                <w:sz w:val="18"/>
                <w:szCs w:val="18"/>
              </w:rPr>
              <w:t>При многоплодной беременности +50% от стоимости исследования.</w:t>
            </w:r>
            <w:r>
              <w:rPr>
                <w:rFonts w:cs="Arial"/>
                <w:color w:val="000000"/>
                <w:sz w:val="21"/>
              </w:rPr>
              <w:t xml:space="preserve">  </w:t>
            </w:r>
            <w:r>
              <w:rPr>
                <w:rFonts w:cs="Arial"/>
                <w:i/>
                <w:color w:val="000000"/>
                <w:sz w:val="21"/>
              </w:rPr>
              <w:t>(В03.001.003)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при беременности более 30 недель (фетометрия + доплер, 3 скрининг) </w:t>
            </w:r>
            <w:r>
              <w:rPr>
                <w:rFonts w:cs="Arial"/>
                <w:b/>
                <w:color w:val="000000"/>
                <w:sz w:val="18"/>
                <w:szCs w:val="18"/>
              </w:rPr>
              <w:t>При многоплодной беременности +50% от стоимости исследования.</w:t>
            </w:r>
            <w:r>
              <w:rPr>
                <w:rFonts w:cs="Arial"/>
                <w:color w:val="000000"/>
                <w:sz w:val="21"/>
              </w:rPr>
              <w:t xml:space="preserve"> </w:t>
            </w:r>
            <w:r>
              <w:rPr>
                <w:rFonts w:cs="Arial"/>
                <w:i/>
                <w:color w:val="000000"/>
                <w:sz w:val="21"/>
              </w:rPr>
              <w:t>(А04.30.001.007)</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2300,00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highlight w:val="white"/>
              </w:rPr>
            </w:pPr>
            <w:r>
              <w:rPr>
                <w:rFonts w:cs="Arial"/>
                <w:color w:val="000000"/>
                <w:sz w:val="21"/>
                <w:highlight w:val="white"/>
              </w:rPr>
              <w:t>Доплеровское исследование при беременности (без фетометрии),состояние сосудов и кровотока свыше 18 недель.</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(В03.001.003)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pPr>
            <w:r>
              <w:rPr>
                <w:rFonts w:cs="Arial"/>
                <w:color w:val="000000"/>
                <w:sz w:val="21"/>
              </w:rPr>
              <w:t>1000,00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Цервикометрия (измерение шейки матки)</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(А04.20.001.04)</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pPr>
            <w:r>
              <w:rPr>
                <w:rFonts w:cs="Arial"/>
                <w:color w:val="000000"/>
                <w:sz w:val="21"/>
              </w:rPr>
              <w:t>800,00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highlight w:val="white"/>
              </w:rPr>
            </w:pPr>
            <w:r>
              <w:rPr>
                <w:rFonts w:cs="Arial"/>
                <w:color w:val="000000"/>
                <w:sz w:val="21"/>
                <w:highlight w:val="white"/>
              </w:rPr>
              <w:t>Контроль сердцебиения плода / определение пола плода/УЗИ для уточннения срока беременности </w:t>
            </w:r>
            <w:r>
              <w:rPr>
                <w:rFonts w:cs="Arial"/>
                <w:i/>
                <w:color w:val="000000"/>
                <w:sz w:val="21"/>
                <w:highlight w:val="white"/>
              </w:rPr>
              <w:t>(В03.001.003, В03.001.001)</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pPr>
            <w:r>
              <w:rPr>
                <w:rFonts w:cs="Arial"/>
                <w:color w:val="000000"/>
                <w:sz w:val="21"/>
              </w:rPr>
              <w:t>800,00</w:t>
            </w:r>
          </w:p>
        </w:tc>
      </w:tr>
      <w:tr>
        <w:trPr>
          <w:trHeight w:val="759"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Контроль эндометрия / контроль положения ВМК</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pPr>
            <w:r>
              <w:rPr>
                <w:rFonts w:cs="Arial"/>
                <w:color w:val="000000"/>
                <w:sz w:val="21"/>
              </w:rPr>
              <w:t>800,00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Фолликулометрия</w:t>
            </w:r>
          </w:p>
          <w:p>
            <w:pPr>
              <w:pStyle w:val="Normal"/>
              <w:spacing w:lineRule="auto" w:line="240" w:before="180" w:after="0"/>
              <w:ind w:left="600" w:right="600"/>
              <w:rPr>
                <w:rFonts w:cs="Arial"/>
                <w:i/>
                <w:i/>
                <w:color w:val="000000"/>
                <w:sz w:val="21"/>
                <w:highlight w:val="white"/>
              </w:rPr>
            </w:pPr>
            <w:r>
              <w:rPr>
                <w:rFonts w:cs="Arial"/>
                <w:i/>
                <w:color w:val="000000"/>
                <w:sz w:val="21"/>
                <w:highlight w:val="white"/>
              </w:rPr>
              <w:t>(А04.20.003)</w:t>
            </w:r>
          </w:p>
        </w:tc>
        <w:tc>
          <w:tcPr>
            <w:tcW w:w="2692" w:type="dxa"/>
            <w:tcBorders>
              <w:bottom w:val="single" w:sz="8" w:space="0" w:color="93A8BE"/>
              <w:right w:val="single" w:sz="8" w:space="0" w:color="93A8BE"/>
            </w:tcBorders>
            <w:tcMar>
              <w:left w:w="25" w:type="dxa"/>
            </w:tcMar>
          </w:tcPr>
          <w:p>
            <w:pPr>
              <w:pStyle w:val="Normal"/>
              <w:spacing w:lineRule="auto" w:line="240" w:before="0" w:after="0"/>
              <w:ind w:left="600" w:right="600"/>
              <w:rPr>
                <w:rFonts w:cs="Arial"/>
                <w:color w:val="000000"/>
                <w:sz w:val="21"/>
              </w:rPr>
            </w:pPr>
            <w:r>
              <w:rPr>
                <w:rFonts w:cs="Arial"/>
                <w:color w:val="000000"/>
                <w:sz w:val="21"/>
              </w:rPr>
            </w:r>
          </w:p>
          <w:p>
            <w:pPr>
              <w:pStyle w:val="Normal"/>
              <w:spacing w:lineRule="auto" w:line="240" w:before="0" w:after="0"/>
              <w:ind w:left="600" w:right="600"/>
              <w:rPr/>
            </w:pPr>
            <w:r>
              <w:rPr>
                <w:rFonts w:cs="Arial"/>
                <w:color w:val="000000"/>
                <w:sz w:val="21"/>
              </w:rPr>
              <w:t>800,00</w:t>
            </w:r>
          </w:p>
        </w:tc>
      </w:tr>
      <w:tr>
        <w:trPr>
          <w:trHeight w:val="820" w:hRule="atLeast"/>
        </w:trPr>
        <w:tc>
          <w:tcPr>
            <w:tcW w:w="9395" w:type="dxa"/>
            <w:gridSpan w:val="2"/>
            <w:tcBorders>
              <w:left w:val="single" w:sz="8" w:space="0" w:color="93A8BE"/>
              <w:bottom w:val="single" w:sz="8" w:space="0" w:color="93A8BE"/>
              <w:right w:val="single" w:sz="8" w:space="0" w:color="000001"/>
            </w:tcBorders>
          </w:tcPr>
          <w:p>
            <w:pPr>
              <w:pStyle w:val="Normal"/>
              <w:spacing w:lineRule="auto" w:line="240" w:before="180" w:after="0"/>
              <w:ind w:right="600"/>
              <w:rPr>
                <w:rFonts w:cs="Arial"/>
                <w:b/>
                <w:bCs/>
                <w:color w:val="000000"/>
                <w:sz w:val="21"/>
                <w:szCs w:val="21"/>
                <w:highlight w:val="yellow"/>
              </w:rPr>
            </w:pPr>
            <w:r>
              <w:rPr>
                <w:rFonts w:cs="Arial"/>
                <w:b/>
                <w:bCs/>
                <w:color w:val="000000"/>
                <w:sz w:val="21"/>
                <w:szCs w:val="21"/>
                <w:highlight w:val="yellow"/>
              </w:rPr>
            </w:r>
          </w:p>
          <w:p>
            <w:pPr>
              <w:pStyle w:val="Normal"/>
              <w:spacing w:lineRule="auto" w:line="240" w:before="180" w:after="0"/>
              <w:ind w:right="600"/>
              <w:jc w:val="center"/>
              <w:rPr>
                <w:rFonts w:cs="Arial"/>
                <w:b/>
                <w:color w:val="000000"/>
                <w:sz w:val="21"/>
              </w:rPr>
            </w:pPr>
            <w:r>
              <w:rPr>
                <w:rFonts w:cs="Arial"/>
                <w:b/>
                <w:color w:val="000000"/>
                <w:sz w:val="21"/>
              </w:rPr>
              <w:t>УЛЬТРАЗВУКОВАЯ ДИАГНОСТИКА ДЕТЯМ</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УЗИ тазобедренных суставов (до 1 года)</w:t>
            </w:r>
          </w:p>
          <w:p>
            <w:pPr>
              <w:pStyle w:val="Normal"/>
              <w:spacing w:lineRule="auto" w:line="240" w:before="180" w:after="0"/>
              <w:ind w:left="600" w:right="600"/>
              <w:rPr>
                <w:rFonts w:cs="Arial"/>
                <w:i/>
                <w:i/>
                <w:color w:val="000000"/>
                <w:sz w:val="21"/>
              </w:rPr>
            </w:pPr>
            <w:r>
              <w:rPr>
                <w:rFonts w:cs="Arial"/>
                <w:i/>
                <w:color w:val="000000"/>
                <w:sz w:val="21"/>
              </w:rPr>
              <w:t>(А04.04.001.001)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500,00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УЗИ почки + надпочечники (до 1 года) </w:t>
            </w:r>
            <w:r>
              <w:rPr>
                <w:rFonts w:cs="Arial"/>
                <w:i/>
                <w:color w:val="000000"/>
                <w:sz w:val="21"/>
              </w:rPr>
              <w:t>(А04.28.002.001)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300,00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органов брюшной полости без почек (до 1 года) </w:t>
            </w:r>
            <w:r>
              <w:rPr>
                <w:rFonts w:cs="Arial"/>
                <w:i/>
                <w:color w:val="000000"/>
                <w:sz w:val="21"/>
              </w:rPr>
              <w:t>(А04.06.001, А04.14.001, А04.14.002, А04.15.001)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500,00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УЗИ органов брюшной полости + почки (до 1 года)</w:t>
            </w:r>
            <w:r>
              <w:rPr>
                <w:rFonts w:cs="Arial"/>
                <w:i/>
                <w:color w:val="000000"/>
                <w:sz w:val="21"/>
              </w:rPr>
              <w:t> (А04.16.001)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700,00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УЗИ сердца (до 1 года)</w:t>
            </w:r>
          </w:p>
          <w:p>
            <w:pPr>
              <w:pStyle w:val="Normal"/>
              <w:spacing w:lineRule="auto" w:line="240" w:before="180" w:after="0"/>
              <w:ind w:left="600" w:right="600"/>
              <w:rPr>
                <w:rFonts w:cs="Arial"/>
                <w:i/>
                <w:i/>
                <w:color w:val="000000"/>
                <w:sz w:val="21"/>
              </w:rPr>
            </w:pPr>
            <w:r>
              <w:rPr>
                <w:rFonts w:cs="Arial"/>
                <w:i/>
                <w:color w:val="000000"/>
                <w:sz w:val="21"/>
              </w:rPr>
              <w:t>(А04.10.002)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700,00</w:t>
            </w:r>
          </w:p>
        </w:tc>
      </w:tr>
      <w:tr>
        <w:trPr>
          <w:trHeight w:val="1012"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Нейросонография (детям) (до 1 года)</w:t>
            </w:r>
          </w:p>
          <w:p>
            <w:pPr>
              <w:pStyle w:val="Normal"/>
              <w:spacing w:lineRule="auto" w:line="240" w:before="180" w:after="0"/>
              <w:ind w:left="600" w:right="600"/>
              <w:rPr>
                <w:rFonts w:cs="Arial"/>
                <w:i/>
                <w:i/>
                <w:color w:val="000000"/>
                <w:sz w:val="21"/>
              </w:rPr>
            </w:pPr>
            <w:r>
              <w:rPr>
                <w:rFonts w:cs="Arial"/>
                <w:i/>
                <w:color w:val="000000"/>
                <w:sz w:val="21"/>
              </w:rPr>
              <w:t>(А04.23.001)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Комплекс дети  до 6 месяцев:- УЗИ брюшная полость +почки + тазобедренные суставы +сердце +нейросонография</w:t>
            </w:r>
          </w:p>
          <w:p>
            <w:pPr>
              <w:pStyle w:val="Normal"/>
              <w:spacing w:lineRule="auto" w:line="240" w:before="180" w:after="0"/>
              <w:ind w:left="600" w:right="600"/>
              <w:rPr>
                <w:rFonts w:cs="Arial"/>
                <w:i/>
                <w:i/>
                <w:color w:val="000000"/>
                <w:sz w:val="21"/>
              </w:rPr>
            </w:pPr>
            <w:r>
              <w:rPr>
                <w:rFonts w:cs="Arial"/>
                <w:i/>
                <w:color w:val="000000"/>
                <w:sz w:val="21"/>
              </w:rPr>
              <w:t>(А04.16.001, А04.04.001.001, А04.10.002, А04.23.001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20" w:after="0"/>
              <w:ind w:left="600" w:right="600"/>
              <w:rPr/>
            </w:pPr>
            <w:r>
              <w:rPr>
                <w:rFonts w:cs="Arial"/>
                <w:color w:val="000000"/>
                <w:sz w:val="21"/>
              </w:rPr>
              <w:t>Комплекс дети от 4 до 18 лет:- УЗИ брюшной полости +почек + репродуктивных органов +сердца +щитовидной железы</w:t>
            </w:r>
          </w:p>
          <w:p>
            <w:pPr>
              <w:pStyle w:val="Normal"/>
              <w:spacing w:lineRule="auto" w:line="240" w:before="120" w:after="0"/>
              <w:ind w:left="600" w:right="600"/>
              <w:rPr>
                <w:rFonts w:cs="Arial"/>
                <w:i/>
                <w:i/>
                <w:color w:val="000000"/>
                <w:sz w:val="21"/>
              </w:rPr>
            </w:pPr>
            <w:r>
              <w:rPr>
                <w:rFonts w:cs="Arial"/>
                <w:i/>
                <w:color w:val="000000"/>
                <w:sz w:val="21"/>
              </w:rPr>
              <w:t>(А04.16.001, А04.22.001, А04.20.001, А04.21.001)</w:t>
            </w:r>
          </w:p>
        </w:tc>
        <w:tc>
          <w:tcPr>
            <w:tcW w:w="2692" w:type="dxa"/>
            <w:tcBorders>
              <w:bottom w:val="single" w:sz="8" w:space="0" w:color="93A8BE"/>
              <w:right w:val="single" w:sz="8" w:space="0" w:color="93A8BE"/>
            </w:tcBorders>
            <w:tcMar>
              <w:left w:w="25" w:type="dxa"/>
            </w:tcMar>
          </w:tcPr>
          <w:p>
            <w:pPr>
              <w:pStyle w:val="Normal"/>
              <w:spacing w:lineRule="auto" w:line="240" w:before="120" w:after="0"/>
              <w:ind w:left="600" w:right="600"/>
              <w:rPr>
                <w:rFonts w:cs="Arial"/>
                <w:color w:val="000000"/>
                <w:sz w:val="21"/>
              </w:rPr>
            </w:pPr>
            <w:r>
              <w:rPr>
                <w:rFonts w:cs="Arial"/>
                <w:color w:val="000000"/>
                <w:sz w:val="21"/>
              </w:rPr>
              <w:t>2500,00</w:t>
            </w:r>
          </w:p>
        </w:tc>
      </w:tr>
      <w:tr>
        <w:trPr>
          <w:trHeight w:val="85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УЗИ пищевода (от 0 до 18 лет)</w:t>
            </w:r>
          </w:p>
          <w:p>
            <w:pPr>
              <w:pStyle w:val="Normal"/>
              <w:spacing w:lineRule="auto" w:line="240" w:before="180" w:after="0"/>
              <w:ind w:left="600" w:right="600"/>
              <w:rPr>
                <w:rFonts w:cs="Arial"/>
                <w:i/>
                <w:i/>
                <w:color w:val="000000"/>
                <w:sz w:val="21"/>
              </w:rPr>
            </w:pPr>
            <w:r>
              <w:rPr>
                <w:rFonts w:cs="Arial"/>
                <w:i/>
                <w:color w:val="000000"/>
                <w:sz w:val="21"/>
              </w:rPr>
              <w:t>(А04.16.004)</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800,00</w:t>
            </w:r>
          </w:p>
        </w:tc>
      </w:tr>
      <w:tr>
        <w:trPr>
          <w:trHeight w:val="315"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b/>
                <w:i/>
                <w:i/>
                <w:color w:val="000000"/>
                <w:sz w:val="21"/>
              </w:rPr>
            </w:pPr>
            <w:r>
              <w:rPr/>
            </w:r>
          </w:p>
          <w:p>
            <w:pPr>
              <w:pStyle w:val="Normal"/>
              <w:spacing w:lineRule="auto" w:line="240" w:before="180" w:after="0"/>
              <w:ind w:left="600" w:right="600"/>
              <w:rPr>
                <w:rFonts w:cs="Arial"/>
                <w:b/>
                <w:i/>
                <w:i/>
                <w:color w:val="000000"/>
                <w:sz w:val="21"/>
              </w:rPr>
            </w:pPr>
            <w:r>
              <w:rPr>
                <w:rFonts w:cs="Arial"/>
                <w:b/>
                <w:i/>
                <w:color w:val="000000"/>
                <w:sz w:val="21"/>
              </w:rPr>
              <w:t>Прочие виды УЗИ для детей от 1 до 18 лет рассчитываются со скидкой 10% от стоимости взрослого прайса.</w:t>
            </w:r>
          </w:p>
        </w:tc>
      </w:tr>
      <w:tr>
        <w:trPr>
          <w:trHeight w:val="1183"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80" w:after="0"/>
              <w:ind w:right="600"/>
              <w:rPr>
                <w:rFonts w:cs="Arial"/>
                <w:b/>
                <w:color w:val="000000"/>
                <w:sz w:val="21"/>
              </w:rPr>
            </w:pPr>
            <w:r>
              <w:rPr>
                <w:rFonts w:cs="Arial"/>
                <w:b/>
                <w:color w:val="000000"/>
                <w:sz w:val="21"/>
              </w:rPr>
            </w:r>
          </w:p>
          <w:p>
            <w:pPr>
              <w:pStyle w:val="Normal"/>
              <w:spacing w:lineRule="auto" w:line="240" w:before="180" w:after="0"/>
              <w:ind w:right="600"/>
              <w:rPr>
                <w:rFonts w:cs="Arial"/>
                <w:b/>
                <w:color w:val="000000"/>
                <w:sz w:val="21"/>
              </w:rPr>
            </w:pPr>
            <w:r>
              <w:rPr>
                <w:rFonts w:cs="Arial"/>
                <w:b/>
                <w:color w:val="000000"/>
                <w:sz w:val="21"/>
              </w:rPr>
            </w:r>
          </w:p>
          <w:p>
            <w:pPr>
              <w:pStyle w:val="Normal"/>
              <w:spacing w:lineRule="auto" w:line="240" w:before="180" w:after="0"/>
              <w:ind w:right="600"/>
              <w:rPr>
                <w:rFonts w:cs="Arial"/>
                <w:b/>
                <w:color w:val="000000"/>
                <w:sz w:val="21"/>
              </w:rPr>
            </w:pPr>
            <w:r>
              <w:rPr>
                <w:rFonts w:cs="Arial"/>
                <w:b/>
                <w:color w:val="000000"/>
                <w:sz w:val="21"/>
              </w:rPr>
            </w:r>
          </w:p>
          <w:p>
            <w:pPr>
              <w:pStyle w:val="Normal"/>
              <w:spacing w:lineRule="auto" w:line="240" w:before="180" w:after="0"/>
              <w:ind w:right="600"/>
              <w:rPr>
                <w:rFonts w:cs="Arial"/>
                <w:b/>
                <w:color w:val="000000"/>
                <w:sz w:val="21"/>
              </w:rPr>
            </w:pPr>
            <w:r>
              <w:rPr>
                <w:rFonts w:cs="Arial"/>
                <w:b/>
                <w:color w:val="000000"/>
                <w:sz w:val="21"/>
              </w:rPr>
            </w:r>
          </w:p>
          <w:p>
            <w:pPr>
              <w:pStyle w:val="Normal"/>
              <w:spacing w:lineRule="auto" w:line="240" w:before="180" w:after="0"/>
              <w:ind w:right="600"/>
              <w:rPr>
                <w:rFonts w:cs="Arial"/>
                <w:b/>
                <w:color w:val="000000"/>
                <w:sz w:val="21"/>
              </w:rPr>
            </w:pPr>
            <w:r>
              <w:rPr>
                <w:rFonts w:cs="Arial"/>
                <w:b/>
                <w:color w:val="000000"/>
                <w:sz w:val="21"/>
              </w:rPr>
            </w:r>
          </w:p>
          <w:p>
            <w:pPr>
              <w:pStyle w:val="Normal"/>
              <w:spacing w:lineRule="auto" w:line="240" w:before="180" w:after="0"/>
              <w:ind w:left="600" w:right="600"/>
              <w:jc w:val="center"/>
              <w:rPr>
                <w:rFonts w:cs="Arial"/>
                <w:b/>
                <w:color w:val="000000"/>
                <w:sz w:val="21"/>
                <w:highlight w:val="white"/>
              </w:rPr>
            </w:pPr>
            <w:r>
              <w:rPr>
                <w:rFonts w:cs="Arial"/>
                <w:b/>
                <w:color w:val="000000"/>
                <w:sz w:val="21"/>
                <w:highlight w:val="white"/>
              </w:rPr>
              <w:t>ОБСЛУЖИВАНИЕ НА ДОМУ</w:t>
            </w:r>
          </w:p>
        </w:tc>
      </w:tr>
      <w:tr>
        <w:trPr>
          <w:trHeight w:val="315" w:hRule="atLeast"/>
        </w:trPr>
        <w:tc>
          <w:tcPr>
            <w:tcW w:w="6703" w:type="dxa"/>
            <w:vMerge w:val="restart"/>
            <w:tcBorders>
              <w:left w:val="single" w:sz="8" w:space="0" w:color="93A8BE"/>
              <w:right w:val="single" w:sz="8" w:space="0" w:color="93A8BE"/>
            </w:tcBorders>
          </w:tcPr>
          <w:p>
            <w:pPr>
              <w:pStyle w:val="Normal"/>
              <w:spacing w:lineRule="auto" w:line="240" w:before="180" w:after="0"/>
              <w:ind w:left="600" w:right="600"/>
              <w:rPr>
                <w:rFonts w:cs="Arial"/>
                <w:color w:val="000000"/>
                <w:sz w:val="21"/>
                <w:highlight w:val="white"/>
              </w:rPr>
            </w:pPr>
            <w:r>
              <w:rPr>
                <w:rFonts w:cs="Arial"/>
                <w:color w:val="000000"/>
                <w:sz w:val="21"/>
                <w:highlight w:val="white"/>
              </w:rPr>
              <w:t>Стоимость выезда на дом увеличивается на 50% от базового прейскуранта на консультации специалистов, ЭКГ, ХОЛТЕР, СМАД</w:t>
            </w:r>
          </w:p>
          <w:p>
            <w:pPr>
              <w:pStyle w:val="Normal"/>
              <w:spacing w:lineRule="auto" w:line="240" w:before="180" w:after="0"/>
              <w:ind w:left="600" w:right="600"/>
              <w:rPr>
                <w:rFonts w:cs="Arial"/>
                <w:color w:val="000000"/>
                <w:sz w:val="21"/>
                <w:highlight w:val="white"/>
              </w:rPr>
            </w:pPr>
            <w:r>
              <w:rPr>
                <w:rFonts w:cs="Arial"/>
                <w:color w:val="000000"/>
                <w:sz w:val="21"/>
                <w:highlight w:val="white"/>
              </w:rPr>
              <w:t>+ ТРАНСПОРТНЫЕ УСЛУГИ :</w:t>
            </w:r>
          </w:p>
          <w:p>
            <w:pPr>
              <w:pStyle w:val="Normal"/>
              <w:spacing w:lineRule="auto" w:line="240" w:before="180" w:after="0"/>
              <w:ind w:left="600" w:right="600"/>
              <w:rPr>
                <w:rFonts w:cs="Arial"/>
                <w:color w:val="000000"/>
                <w:sz w:val="21"/>
                <w:highlight w:val="white"/>
              </w:rPr>
            </w:pPr>
            <w:r>
              <w:rPr/>
            </w:r>
          </w:p>
          <w:p>
            <w:pPr>
              <w:pStyle w:val="Normal"/>
              <w:spacing w:lineRule="auto" w:line="240" w:before="180" w:after="0"/>
              <w:ind w:left="600" w:right="600"/>
              <w:rPr>
                <w:highlight w:val="white"/>
              </w:rPr>
            </w:pPr>
            <w:r>
              <w:rPr>
                <w:rFonts w:cs="Arial"/>
                <w:color w:val="000000"/>
                <w:sz w:val="21"/>
                <w:highlight w:val="white"/>
              </w:rPr>
              <w:t>Выезд  до 10 км (+ к стоимости обследований и консультаций)</w:t>
            </w:r>
          </w:p>
          <w:p>
            <w:pPr>
              <w:pStyle w:val="Normal"/>
              <w:spacing w:lineRule="auto" w:line="240" w:before="180" w:after="0"/>
              <w:ind w:left="600" w:right="600"/>
              <w:rPr>
                <w:rFonts w:cs="Arial"/>
                <w:color w:val="000000"/>
                <w:sz w:val="21"/>
                <w:highlight w:val="white"/>
              </w:rPr>
            </w:pPr>
            <w:r>
              <w:rPr/>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highlight w:val="white"/>
              </w:rPr>
            </w:pPr>
            <w:r>
              <w:rPr/>
            </w:r>
          </w:p>
        </w:tc>
      </w:tr>
      <w:tr>
        <w:trPr>
          <w:trHeight w:val="1523" w:hRule="atLeast"/>
        </w:trPr>
        <w:tc>
          <w:tcPr>
            <w:tcW w:w="6703" w:type="dxa"/>
            <w:vMerge w:val="continue"/>
            <w:tcBorders>
              <w:left w:val="single" w:sz="8" w:space="0" w:color="93A8BE"/>
              <w:right w:val="single" w:sz="8" w:space="0" w:color="93A8BE"/>
            </w:tcBorders>
          </w:tcPr>
          <w:p>
            <w:pPr>
              <w:pStyle w:val="Normal"/>
              <w:spacing w:lineRule="auto" w:line="240" w:before="180" w:after="0"/>
              <w:ind w:left="600" w:right="600"/>
              <w:rPr>
                <w:highlight w:val="yellow"/>
              </w:rPr>
            </w:pPr>
            <w:r>
              <w:rPr>
                <w:highlight w:val="yellow"/>
              </w:rPr>
            </w:r>
          </w:p>
        </w:tc>
        <w:tc>
          <w:tcPr>
            <w:tcW w:w="2692" w:type="dxa"/>
            <w:tcBorders>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r>
          </w:p>
          <w:p>
            <w:pPr>
              <w:pStyle w:val="Normal"/>
              <w:spacing w:lineRule="auto" w:line="240" w:before="180" w:after="0"/>
              <w:ind w:left="600" w:right="600"/>
              <w:rPr>
                <w:rFonts w:cs="Arial"/>
                <w:color w:val="000000"/>
                <w:sz w:val="21"/>
                <w:highlight w:val="white"/>
              </w:rPr>
            </w:pPr>
            <w:r>
              <w:rPr>
                <w:rFonts w:cs="Arial"/>
                <w:color w:val="000000"/>
                <w:sz w:val="21"/>
                <w:highlight w:val="white"/>
              </w:rPr>
            </w:r>
          </w:p>
          <w:p>
            <w:pPr>
              <w:pStyle w:val="Normal"/>
              <w:spacing w:lineRule="auto" w:line="240" w:before="180" w:after="0"/>
              <w:ind w:left="600" w:right="600"/>
              <w:rPr>
                <w:rFonts w:cs="Arial"/>
                <w:color w:val="000000"/>
                <w:sz w:val="21"/>
                <w:highlight w:val="white"/>
              </w:rPr>
            </w:pPr>
            <w:r>
              <w:rPr>
                <w:rFonts w:cs="Arial"/>
                <w:color w:val="000000"/>
                <w:sz w:val="21"/>
                <w:highlight w:val="white"/>
              </w:rPr>
            </w:r>
          </w:p>
          <w:p>
            <w:pPr>
              <w:pStyle w:val="Normal"/>
              <w:spacing w:lineRule="auto" w:line="240" w:before="120" w:after="0"/>
              <w:ind w:left="600" w:right="600"/>
              <w:rPr>
                <w:rFonts w:cs="Arial"/>
                <w:color w:val="000000"/>
                <w:sz w:val="21"/>
                <w:highlight w:val="white"/>
              </w:rPr>
            </w:pPr>
            <w:r>
              <w:rPr>
                <w:rFonts w:cs="Arial"/>
                <w:color w:val="000000"/>
                <w:sz w:val="21"/>
                <w:highlight w:val="white"/>
              </w:rPr>
              <w:t>1500,00</w:t>
            </w:r>
          </w:p>
        </w:tc>
      </w:tr>
      <w:tr>
        <w:trPr>
          <w:trHeight w:val="375" w:hRule="atLeast"/>
        </w:trPr>
        <w:tc>
          <w:tcPr>
            <w:tcW w:w="6703" w:type="dxa"/>
            <w:vMerge w:val="continue"/>
            <w:tcBorders>
              <w:left w:val="single" w:sz="8" w:space="0" w:color="93A8BE"/>
              <w:right w:val="single" w:sz="8" w:space="0" w:color="93A8BE"/>
            </w:tcBorders>
          </w:tcPr>
          <w:p>
            <w:pPr>
              <w:pStyle w:val="Normal"/>
              <w:spacing w:lineRule="auto" w:line="240" w:before="180" w:after="0"/>
              <w:ind w:left="600" w:right="600"/>
              <w:rPr>
                <w:highlight w:val="yellow"/>
              </w:rPr>
            </w:pPr>
            <w:r>
              <w:rPr>
                <w:highlight w:val="yellow"/>
              </w:rPr>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highlight w:val="white"/>
              </w:rPr>
            </w:pPr>
            <w:r>
              <w:rPr>
                <w:rFonts w:cs="Arial"/>
                <w:color w:val="000000"/>
                <w:sz w:val="21"/>
                <w:highlight w:val="white"/>
              </w:rPr>
            </w:r>
          </w:p>
          <w:p>
            <w:pPr>
              <w:pStyle w:val="Normal"/>
              <w:spacing w:lineRule="auto" w:line="240" w:before="180" w:after="0"/>
              <w:ind w:left="600" w:right="600"/>
              <w:rPr>
                <w:rFonts w:cs="Arial"/>
                <w:color w:val="000000"/>
                <w:sz w:val="21"/>
                <w:highlight w:val="white"/>
              </w:rPr>
            </w:pPr>
            <w:r>
              <w:rPr/>
            </w:r>
          </w:p>
        </w:tc>
      </w:tr>
      <w:tr>
        <w:trPr>
          <w:trHeight w:val="536"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80" w:after="0"/>
              <w:ind w:right="600"/>
              <w:rPr>
                <w:rFonts w:cs="Arial"/>
                <w:b/>
                <w:color w:val="000000"/>
                <w:sz w:val="21"/>
              </w:rPr>
            </w:pPr>
            <w:r>
              <w:rPr/>
            </w:r>
          </w:p>
          <w:p>
            <w:pPr>
              <w:pStyle w:val="Normal"/>
              <w:spacing w:lineRule="auto" w:line="240" w:before="180" w:after="0"/>
              <w:ind w:right="600"/>
              <w:rPr>
                <w:rFonts w:cs="Arial"/>
                <w:b/>
                <w:color w:val="000000"/>
                <w:sz w:val="21"/>
              </w:rPr>
            </w:pPr>
            <w:r>
              <w:rPr>
                <w:rFonts w:cs="Arial"/>
                <w:b/>
                <w:color w:val="000000"/>
                <w:sz w:val="21"/>
              </w:rPr>
            </w:r>
          </w:p>
          <w:p>
            <w:pPr>
              <w:pStyle w:val="Normal"/>
              <w:spacing w:lineRule="auto" w:line="240" w:before="180" w:after="0"/>
              <w:ind w:right="600"/>
              <w:rPr>
                <w:rFonts w:cs="Arial"/>
                <w:b/>
                <w:color w:val="000000"/>
                <w:sz w:val="21"/>
              </w:rPr>
            </w:pPr>
            <w:r>
              <w:rPr>
                <w:rFonts w:cs="Arial"/>
                <w:b/>
                <w:color w:val="000000"/>
                <w:sz w:val="21"/>
              </w:rPr>
              <w:t xml:space="preserve">                                                </w:t>
            </w:r>
            <w:r>
              <w:rPr>
                <w:rFonts w:cs="Arial"/>
                <w:b/>
                <w:color w:val="000000"/>
                <w:sz w:val="21"/>
              </w:rPr>
              <w:t>ПРОЦЕДУРНЫЙ КАБИНЕТ</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Подкожные инъекции</w:t>
            </w:r>
            <w:r>
              <w:rPr/>
              <w:t xml:space="preserve"> </w:t>
            </w:r>
            <w:r>
              <w:rPr>
                <w:rFonts w:cs="Arial"/>
                <w:i/>
                <w:color w:val="000000"/>
                <w:sz w:val="21"/>
              </w:rPr>
              <w:t>(А11.01.002)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80,00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Внутримышечные инъекции (1-2 шт) </w:t>
            </w:r>
            <w:r>
              <w:rPr>
                <w:rFonts w:cs="Arial"/>
                <w:i/>
                <w:color w:val="000000"/>
                <w:sz w:val="21"/>
              </w:rPr>
              <w:t>(А11.02.002)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w:t>
            </w:r>
          </w:p>
        </w:tc>
      </w:tr>
      <w:tr>
        <w:trPr>
          <w:trHeight w:val="630"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Внутримышечные инъекции (3 шт и более единовременно) </w:t>
            </w:r>
            <w:r>
              <w:rPr>
                <w:rFonts w:cs="Arial"/>
                <w:i/>
                <w:color w:val="000000"/>
                <w:sz w:val="21"/>
              </w:rPr>
              <w:t>(А11.02.002)</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Внутривенные инъекции </w:t>
            </w:r>
            <w:r>
              <w:rPr>
                <w:rFonts w:cs="Arial"/>
                <w:i/>
                <w:color w:val="000000"/>
                <w:sz w:val="21"/>
              </w:rPr>
              <w:t>(А11.12.003)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Внутривенное капельное введение </w:t>
            </w:r>
            <w:r>
              <w:rPr>
                <w:rFonts w:cs="Arial"/>
                <w:i/>
                <w:color w:val="000000"/>
                <w:sz w:val="21"/>
              </w:rPr>
              <w:t>(А11.12.003)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400,00</w:t>
            </w:r>
          </w:p>
        </w:tc>
      </w:tr>
      <w:tr>
        <w:trPr>
          <w:trHeight w:val="617"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Дополнительное в/в введение препарата</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50,00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Забор крови из вены для анализа </w:t>
            </w:r>
            <w:r>
              <w:rPr>
                <w:rFonts w:cs="Arial"/>
                <w:i/>
                <w:color w:val="000000"/>
                <w:sz w:val="21"/>
              </w:rPr>
              <w:t>(А11.12.009)</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140,00</w:t>
            </w:r>
          </w:p>
        </w:tc>
      </w:tr>
      <w:tr>
        <w:trPr>
          <w:trHeight w:val="733"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Анализ крови на сахар (экспресс метод)</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w:t>
            </w:r>
          </w:p>
        </w:tc>
      </w:tr>
      <w:tr>
        <w:trPr>
          <w:trHeight w:val="586"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80" w:after="0"/>
              <w:ind w:right="600"/>
              <w:rPr>
                <w:rFonts w:cs="Arial"/>
                <w:b/>
                <w:color w:val="000000"/>
                <w:sz w:val="21"/>
              </w:rPr>
            </w:pPr>
            <w:r>
              <w:rPr>
                <w:rFonts w:cs="Arial"/>
                <w:b/>
                <w:color w:val="000000"/>
                <w:sz w:val="21"/>
              </w:rPr>
              <w:t xml:space="preserve">                                                      </w:t>
            </w:r>
            <w:r>
              <w:rPr>
                <w:rFonts w:cs="Arial"/>
                <w:b/>
                <w:color w:val="000000"/>
                <w:sz w:val="21"/>
              </w:rPr>
              <w:t>ФИЗИОТЕРАПИЯ</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Прессотерапия (аппаратный лимфодренаж)</w:t>
            </w:r>
          </w:p>
          <w:p>
            <w:pPr>
              <w:pStyle w:val="Normal"/>
              <w:spacing w:lineRule="auto" w:line="240" w:before="180" w:after="0"/>
              <w:ind w:left="600" w:right="600"/>
              <w:rPr>
                <w:rFonts w:cs="Arial"/>
                <w:i/>
                <w:i/>
                <w:color w:val="000000"/>
                <w:sz w:val="21"/>
              </w:rPr>
            </w:pPr>
            <w:r>
              <w:rPr>
                <w:rFonts w:cs="Arial"/>
                <w:i/>
                <w:color w:val="000000"/>
                <w:sz w:val="21"/>
              </w:rPr>
              <w:t>(А17.30.009)</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300,00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Электрофорез без стоимости лекарства (1 сеанс)</w:t>
            </w:r>
          </w:p>
          <w:p>
            <w:pPr>
              <w:pStyle w:val="Normal"/>
              <w:spacing w:lineRule="auto" w:line="240" w:before="180" w:after="0"/>
              <w:ind w:left="600" w:right="600"/>
              <w:rPr>
                <w:rFonts w:cs="Arial"/>
                <w:i/>
                <w:i/>
                <w:color w:val="000000"/>
                <w:sz w:val="21"/>
              </w:rPr>
            </w:pPr>
            <w:r>
              <w:rPr>
                <w:rFonts w:cs="Arial"/>
                <w:i/>
                <w:color w:val="000000"/>
                <w:sz w:val="21"/>
              </w:rPr>
              <w:t>(А17.29.003)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Лазеротерапия (1 сеанс) </w:t>
            </w:r>
            <w:r>
              <w:rPr>
                <w:rFonts w:cs="Arial"/>
                <w:i/>
                <w:color w:val="000000"/>
                <w:sz w:val="21"/>
              </w:rPr>
              <w:t>(А17.30.027)</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Миостимуляция 1 зона (1 сеанс) </w:t>
            </w:r>
            <w:r>
              <w:rPr>
                <w:rFonts w:cs="Arial"/>
                <w:i/>
                <w:color w:val="000000"/>
                <w:sz w:val="21"/>
              </w:rPr>
              <w:t>(А17.02.001)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w:t>
            </w:r>
          </w:p>
        </w:tc>
      </w:tr>
      <w:tr>
        <w:trPr>
          <w:trHeight w:val="64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Магнитотерапия (1 сеанс) </w:t>
            </w:r>
            <w:r>
              <w:rPr>
                <w:rFonts w:cs="Arial"/>
                <w:i/>
                <w:color w:val="000000"/>
                <w:sz w:val="21"/>
              </w:rPr>
              <w:t>(А17.30.025)</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СМТ  1 зона (1 сеанс) </w:t>
            </w:r>
            <w:r>
              <w:rPr>
                <w:rFonts w:cs="Arial"/>
                <w:i/>
                <w:color w:val="000000"/>
                <w:sz w:val="21"/>
              </w:rPr>
              <w:t>(А17.30.024)</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150,00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Амплипульс (1 сеанс)</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150,00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Д-арсонваль 1 зона (1 сеанс) </w:t>
            </w:r>
            <w:r>
              <w:rPr>
                <w:rFonts w:cs="Arial"/>
                <w:i/>
                <w:color w:val="000000"/>
                <w:sz w:val="21"/>
              </w:rPr>
              <w:t>(А17.01.007)</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150,00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 xml:space="preserve">Ингаляция небулайзером  (1 санс) (без стоимости лекарства) </w:t>
            </w:r>
            <w:r>
              <w:rPr>
                <w:rFonts w:cs="Arial"/>
                <w:i/>
                <w:color w:val="000000"/>
                <w:sz w:val="21"/>
              </w:rPr>
              <w:t>(А11.09.007.001)</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pPr>
            <w:r>
              <w:rPr>
                <w:rFonts w:cs="Arial"/>
                <w:color w:val="000000"/>
                <w:sz w:val="21"/>
              </w:rPr>
              <w:t>КУФ (1 сеанс) </w:t>
            </w:r>
            <w:r>
              <w:rPr>
                <w:rFonts w:cs="Arial"/>
                <w:i/>
                <w:color w:val="000000"/>
                <w:sz w:val="21"/>
              </w:rPr>
              <w:t>(А22.30.003)</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100,00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Ультразвуковая терапия (без стоимости лекарства)</w:t>
            </w:r>
          </w:p>
          <w:p>
            <w:pPr>
              <w:pStyle w:val="Normal"/>
              <w:spacing w:lineRule="auto" w:line="240" w:before="180" w:after="0"/>
              <w:ind w:left="600" w:right="600"/>
              <w:rPr>
                <w:rFonts w:cs="Arial"/>
                <w:i/>
                <w:i/>
                <w:color w:val="000000"/>
                <w:sz w:val="21"/>
              </w:rPr>
            </w:pPr>
            <w:r>
              <w:rPr>
                <w:rFonts w:cs="Arial"/>
                <w:i/>
                <w:color w:val="000000"/>
                <w:sz w:val="21"/>
              </w:rPr>
              <w:t>(А17.30.034)</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200,00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Транскраниальная микрополяризация (ТКМП) – 20/30/40 мин</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0"/>
                <w:szCs w:val="20"/>
              </w:rPr>
            </w:pPr>
            <w:r>
              <w:rPr>
                <w:rFonts w:cs="Arial"/>
                <w:color w:val="000000"/>
                <w:sz w:val="20"/>
                <w:szCs w:val="20"/>
              </w:rPr>
              <w:t>500/700/850,00</w:t>
            </w:r>
          </w:p>
        </w:tc>
      </w:tr>
      <w:tr>
        <w:trPr>
          <w:trHeight w:val="315" w:hRule="atLeast"/>
        </w:trPr>
        <w:tc>
          <w:tcPr>
            <w:tcW w:w="9395" w:type="dxa"/>
            <w:gridSpan w:val="2"/>
            <w:tcBorders>
              <w:left w:val="single" w:sz="8" w:space="0" w:color="93A8BE"/>
              <w:bottom w:val="single" w:sz="8" w:space="0" w:color="93A8BE"/>
              <w:right w:val="single" w:sz="8" w:space="0" w:color="93A8BE"/>
            </w:tcBorders>
          </w:tcPr>
          <w:p>
            <w:pPr>
              <w:pStyle w:val="Normal"/>
              <w:spacing w:lineRule="auto" w:line="240" w:before="180" w:after="0"/>
              <w:ind w:right="600"/>
              <w:rPr>
                <w:rFonts w:cs="Arial"/>
                <w:b/>
                <w:color w:val="000000"/>
                <w:sz w:val="21"/>
              </w:rPr>
            </w:pPr>
            <w:r>
              <w:rPr/>
            </w:r>
          </w:p>
          <w:p>
            <w:pPr>
              <w:pStyle w:val="Normal"/>
              <w:spacing w:lineRule="auto" w:line="240" w:before="180" w:after="0"/>
              <w:ind w:left="600" w:right="600"/>
              <w:jc w:val="center"/>
              <w:rPr>
                <w:rFonts w:cs="Arial"/>
                <w:b/>
                <w:color w:val="000000"/>
                <w:sz w:val="21"/>
              </w:rPr>
            </w:pPr>
            <w:r>
              <w:rPr>
                <w:rFonts w:cs="Arial"/>
                <w:b/>
                <w:color w:val="000000"/>
                <w:sz w:val="21"/>
              </w:rPr>
              <w:t>ЛОГОПЕДИЯ</w:t>
            </w:r>
          </w:p>
          <w:p>
            <w:pPr>
              <w:pStyle w:val="Normal"/>
              <w:spacing w:lineRule="auto" w:line="240" w:before="180" w:after="0"/>
              <w:ind w:left="600" w:right="600"/>
              <w:rPr>
                <w:rFonts w:cs="Arial"/>
                <w:color w:val="000000"/>
                <w:sz w:val="21"/>
              </w:rPr>
            </w:pPr>
            <w:r>
              <w:rPr/>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583" w:right="600"/>
              <w:rPr>
                <w:rFonts w:cs="Arial"/>
                <w:color w:val="000000"/>
                <w:sz w:val="21"/>
              </w:rPr>
            </w:pPr>
            <w:r>
              <w:rPr>
                <w:rFonts w:cs="Arial"/>
                <w:color w:val="000000"/>
                <w:sz w:val="21"/>
              </w:rPr>
              <w:t>Услуги логопеда (занятие в медицинском центре 1 час)</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400,00</w:t>
            </w:r>
          </w:p>
        </w:tc>
      </w:tr>
      <w:tr>
        <w:trPr>
          <w:trHeight w:val="315" w:hRule="atLeast"/>
        </w:trPr>
        <w:tc>
          <w:tcPr>
            <w:tcW w:w="6703" w:type="dxa"/>
            <w:tcBorders>
              <w:left w:val="single" w:sz="8" w:space="0" w:color="93A8BE"/>
              <w:bottom w:val="single" w:sz="8" w:space="0" w:color="93A8BE"/>
              <w:right w:val="single" w:sz="8" w:space="0" w:color="93A8BE"/>
            </w:tcBorders>
          </w:tcPr>
          <w:p>
            <w:pPr>
              <w:pStyle w:val="Normal"/>
              <w:spacing w:lineRule="auto" w:line="240" w:before="180" w:after="0"/>
              <w:ind w:left="600" w:right="600"/>
              <w:rPr>
                <w:rFonts w:cs="Arial"/>
                <w:color w:val="000000"/>
                <w:sz w:val="21"/>
              </w:rPr>
            </w:pPr>
            <w:r>
              <w:rPr>
                <w:rFonts w:cs="Arial"/>
                <w:color w:val="000000"/>
                <w:sz w:val="21"/>
              </w:rPr>
              <w:t>Услуги логопеда (занятие на дому 1 час)</w:t>
            </w:r>
          </w:p>
        </w:tc>
        <w:tc>
          <w:tcPr>
            <w:tcW w:w="2692" w:type="dxa"/>
            <w:tcBorders>
              <w:bottom w:val="single" w:sz="8" w:space="0" w:color="93A8BE"/>
              <w:right w:val="single" w:sz="8" w:space="0" w:color="93A8BE"/>
            </w:tcBorders>
            <w:tcMar>
              <w:left w:w="25" w:type="dxa"/>
            </w:tcMar>
          </w:tcPr>
          <w:p>
            <w:pPr>
              <w:pStyle w:val="Normal"/>
              <w:spacing w:lineRule="auto" w:line="240" w:before="180" w:after="0"/>
              <w:ind w:left="600" w:right="600"/>
              <w:rPr>
                <w:rFonts w:cs="Arial"/>
                <w:color w:val="000000"/>
                <w:sz w:val="21"/>
              </w:rPr>
            </w:pPr>
            <w:r>
              <w:rPr>
                <w:rFonts w:cs="Arial"/>
                <w:color w:val="000000"/>
                <w:sz w:val="21"/>
              </w:rPr>
              <w:t>500,00</w:t>
            </w:r>
          </w:p>
        </w:tc>
      </w:tr>
      <w:tr>
        <w:trPr>
          <w:trHeight w:val="405" w:hRule="atLeast"/>
        </w:trPr>
        <w:tc>
          <w:tcPr>
            <w:tcW w:w="9395" w:type="dxa"/>
            <w:gridSpan w:val="2"/>
            <w:tcBorders>
              <w:left w:val="single" w:sz="8" w:space="0" w:color="93A8BE"/>
              <w:bottom w:val="single" w:sz="8" w:space="0" w:color="93A8BE"/>
              <w:right w:val="single" w:sz="8" w:space="0" w:color="000001"/>
            </w:tcBorders>
          </w:tcPr>
          <w:p>
            <w:pPr>
              <w:pStyle w:val="Normal"/>
              <w:spacing w:lineRule="auto" w:line="240" w:before="180" w:after="0"/>
              <w:ind w:left="600" w:right="600"/>
              <w:jc w:val="center"/>
              <w:rPr>
                <w:rFonts w:cs="Arial"/>
                <w:color w:val="000000"/>
                <w:sz w:val="21"/>
              </w:rPr>
            </w:pPr>
            <w:r>
              <w:rPr/>
            </w:r>
          </w:p>
        </w:tc>
      </w:tr>
    </w:tbl>
    <w:p>
      <w:pPr>
        <w:pStyle w:val="Normal"/>
        <w:shd w:val="clear" w:color="auto" w:fill="003664"/>
        <w:spacing w:before="180" w:after="0"/>
        <w:jc w:val="center"/>
        <w:rPr>
          <w:rFonts w:cs="Arial"/>
          <w:color w:val="000000"/>
          <w:sz w:val="21"/>
        </w:rPr>
      </w:pPr>
      <w:r>
        <w:rPr>
          <w:rFonts w:cs="Arial"/>
          <w:color w:val="000000"/>
          <w:sz w:val="21"/>
        </w:rPr>
        <w:t> </w:t>
      </w:r>
    </w:p>
    <w:p>
      <w:pPr>
        <w:pStyle w:val="Normal"/>
        <w:shd w:val="clear" w:color="auto" w:fill="003664"/>
        <w:spacing w:before="180" w:after="0"/>
        <w:jc w:val="center"/>
        <w:rPr>
          <w:rFonts w:cs="Arial"/>
          <w:color w:val="000000"/>
          <w:sz w:val="21"/>
        </w:rPr>
      </w:pPr>
      <w:r>
        <w:rPr>
          <w:rFonts w:cs="Arial"/>
          <w:color w:val="000000"/>
          <w:sz w:val="21"/>
        </w:rPr>
        <w:t> </w:t>
      </w:r>
    </w:p>
    <w:p>
      <w:pPr>
        <w:pStyle w:val="Normal"/>
        <w:shd w:val="clear" w:color="auto" w:fill="003664"/>
        <w:spacing w:before="180" w:after="180"/>
        <w:jc w:val="center"/>
        <w:rPr>
          <w:color w:val="FFFFFF"/>
        </w:rPr>
      </w:pPr>
      <w:r>
        <w:rPr>
          <w:rFonts w:cs="Arial"/>
          <w:color w:val="FFFFFF"/>
          <w:sz w:val="21"/>
        </w:rPr>
        <w:t>ПРЕДОСТАВЛЯЕМЫЕ СКИДКИ</w:t>
      </w:r>
    </w:p>
    <w:p>
      <w:pPr>
        <w:pStyle w:val="Normal"/>
        <w:shd w:val="clear" w:color="auto" w:fill="003664"/>
        <w:spacing w:before="180" w:after="180"/>
        <w:jc w:val="center"/>
        <w:rPr>
          <w:color w:val="FFFFFF"/>
        </w:rPr>
      </w:pPr>
      <w:r>
        <w:rPr>
          <w:rFonts w:cs="Arial"/>
          <w:color w:val="FFFFFF"/>
          <w:sz w:val="21"/>
        </w:rPr>
        <w:t>(при предоставлении соответствующего документа):</w:t>
      </w:r>
    </w:p>
    <w:p>
      <w:pPr>
        <w:pStyle w:val="Normal"/>
        <w:shd w:val="clear" w:color="auto" w:fill="003664"/>
        <w:spacing w:before="180" w:after="180"/>
        <w:jc w:val="center"/>
        <w:rPr>
          <w:rFonts w:cs="Arial"/>
          <w:color w:val="FFFFFF"/>
          <w:sz w:val="21"/>
          <w:szCs w:val="21"/>
        </w:rPr>
      </w:pPr>
      <w:r>
        <w:rPr>
          <w:rFonts w:cs="Arial"/>
          <w:color w:val="FFFFFF"/>
          <w:sz w:val="21"/>
        </w:rPr>
        <w:t>5%</w:t>
      </w:r>
    </w:p>
    <w:p>
      <w:pPr>
        <w:pStyle w:val="Normal"/>
        <w:shd w:val="clear" w:color="auto" w:fill="003664"/>
        <w:spacing w:before="180" w:after="180"/>
        <w:jc w:val="center"/>
        <w:rPr>
          <w:rFonts w:cs="Arial"/>
          <w:color w:val="FFFFFF"/>
          <w:sz w:val="21"/>
          <w:szCs w:val="21"/>
        </w:rPr>
      </w:pPr>
      <w:r>
        <w:rPr>
          <w:rFonts w:cs="Arial"/>
          <w:color w:val="FFFFFF"/>
          <w:sz w:val="21"/>
        </w:rPr>
        <w:t>пенсионерам, сельским жителям, инвалидам I, II, III групп, чернобыльцам, участникам боевых действий и многодетным семьям, медицинским работникам</w:t>
      </w:r>
    </w:p>
    <w:p>
      <w:pPr>
        <w:pStyle w:val="Normal"/>
        <w:shd w:val="clear" w:color="auto" w:fill="003664"/>
        <w:spacing w:before="180" w:after="180"/>
        <w:jc w:val="center"/>
        <w:rPr>
          <w:color w:val="FFFFFF"/>
        </w:rPr>
      </w:pPr>
      <w:r>
        <w:rPr>
          <w:rFonts w:cs="Arial"/>
          <w:b/>
          <w:color w:val="FFFFFF"/>
          <w:sz w:val="21"/>
        </w:rPr>
        <w:t xml:space="preserve"> </w:t>
      </w:r>
      <w:r>
        <w:rPr>
          <w:rFonts w:cs="Arial"/>
          <w:b/>
          <w:color w:val="FFFFFF"/>
          <w:sz w:val="21"/>
        </w:rPr>
        <w:t>Скидки распространяются на первичные и повторные приемы</w:t>
      </w:r>
    </w:p>
    <w:p>
      <w:pPr>
        <w:pStyle w:val="Normal"/>
        <w:shd w:val="clear" w:color="auto" w:fill="003664"/>
        <w:spacing w:before="180" w:after="180"/>
        <w:jc w:val="center"/>
        <w:rPr>
          <w:color w:val="FFFFFF"/>
        </w:rPr>
      </w:pPr>
      <w:r>
        <w:rPr>
          <w:rFonts w:cs="Arial"/>
          <w:b/>
          <w:color w:val="FFFFFF"/>
          <w:sz w:val="21"/>
        </w:rPr>
        <w:t>врачей-специалистов (кроме услуг приезжих специалистов)</w:t>
      </w:r>
    </w:p>
    <w:p>
      <w:pPr>
        <w:pStyle w:val="Normal"/>
        <w:shd w:val="clear" w:color="auto" w:fill="003664"/>
        <w:spacing w:before="180" w:after="180"/>
        <w:jc w:val="center"/>
        <w:rPr>
          <w:color w:val="FFFFFF"/>
        </w:rPr>
      </w:pPr>
      <w:r>
        <w:rPr>
          <w:rFonts w:cs="Arial"/>
          <w:b/>
          <w:color w:val="FFFFFF"/>
          <w:sz w:val="21"/>
        </w:rPr>
        <w:t>и УЗИ-диагностику (кроме УЗД детям).</w:t>
      </w:r>
    </w:p>
    <w:p>
      <w:pPr>
        <w:pStyle w:val="Normal"/>
        <w:shd w:val="clear" w:color="auto" w:fill="003664"/>
        <w:spacing w:before="180" w:after="180"/>
        <w:jc w:val="center"/>
        <w:rPr>
          <w:color w:val="FFFFFF"/>
        </w:rPr>
      </w:pPr>
      <w:r>
        <w:rPr>
          <w:rFonts w:cs="Arial"/>
          <w:b/>
          <w:color w:val="FFFFFF"/>
          <w:sz w:val="21"/>
        </w:rPr>
        <w:t>СКИДКИ НЕ СУММИРУЮТСЯ.</w:t>
      </w:r>
    </w:p>
    <w:p>
      <w:pPr>
        <w:pStyle w:val="Normal"/>
        <w:spacing w:before="0" w:after="200"/>
        <w:rPr>
          <w:color w:val="FFFFFF"/>
        </w:rPr>
      </w:pPr>
      <w:r>
        <w:rPr>
          <w:color w:val="FFFFFF"/>
        </w:rPr>
      </w:r>
    </w:p>
    <w:sectPr>
      <w:type w:val="nextPage"/>
      <w:pgSz w:w="11906" w:h="16838"/>
      <w:pgMar w:left="1701" w:right="850" w:gutter="0" w:header="0" w:top="1134" w:footer="0" w:bottom="15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Arial" w:hAnsi="Arial" w:eastAsia="Arial" w:cs="Times New Roman"/>
      <w:color w:val="auto"/>
      <w:kern w:val="0"/>
      <w:sz w:val="22"/>
      <w:szCs w:val="22"/>
      <w:lang w:val="ru-RU" w:bidi="ar-SA" w:eastAsia="zh-CN"/>
    </w:rPr>
  </w:style>
  <w:style w:type="paragraph" w:styleId="Heading1">
    <w:name w:val="Heading 1"/>
    <w:basedOn w:val="Normal"/>
    <w:next w:val="Normal"/>
    <w:qFormat/>
    <w:pPr>
      <w:keepNext w:val="true"/>
      <w:keepLines/>
      <w:numPr>
        <w:ilvl w:val="0"/>
        <w:numId w:val="1"/>
      </w:numPr>
      <w:spacing w:before="480" w:after="200"/>
      <w:outlineLvl w:val="0"/>
    </w:pPr>
    <w:rPr>
      <w:sz w:val="40"/>
      <w:szCs w:val="40"/>
      <w:lang w:val="en-US"/>
    </w:rPr>
  </w:style>
  <w:style w:type="paragraph" w:styleId="Heading2">
    <w:name w:val="Heading 2"/>
    <w:basedOn w:val="Normal"/>
    <w:next w:val="Normal"/>
    <w:qFormat/>
    <w:pPr>
      <w:keepNext w:val="true"/>
      <w:keepLines/>
      <w:numPr>
        <w:ilvl w:val="1"/>
        <w:numId w:val="1"/>
      </w:numPr>
      <w:spacing w:before="360" w:after="200"/>
      <w:outlineLvl w:val="1"/>
    </w:pPr>
    <w:rPr>
      <w:sz w:val="34"/>
      <w:szCs w:val="20"/>
      <w:lang w:val="en-US"/>
    </w:rPr>
  </w:style>
  <w:style w:type="paragraph" w:styleId="Heading3">
    <w:name w:val="Heading 3"/>
    <w:basedOn w:val="Normal"/>
    <w:next w:val="Normal"/>
    <w:qFormat/>
    <w:pPr>
      <w:keepNext w:val="true"/>
      <w:keepLines/>
      <w:numPr>
        <w:ilvl w:val="2"/>
        <w:numId w:val="1"/>
      </w:numPr>
      <w:spacing w:before="320" w:after="200"/>
      <w:outlineLvl w:val="2"/>
    </w:pPr>
    <w:rPr>
      <w:sz w:val="30"/>
      <w:szCs w:val="30"/>
      <w:lang w:val="en-US"/>
    </w:rPr>
  </w:style>
  <w:style w:type="paragraph" w:styleId="Heading4">
    <w:name w:val="Heading 4"/>
    <w:basedOn w:val="Normal"/>
    <w:next w:val="Normal"/>
    <w:qFormat/>
    <w:pPr>
      <w:keepNext w:val="true"/>
      <w:keepLines/>
      <w:numPr>
        <w:ilvl w:val="3"/>
        <w:numId w:val="1"/>
      </w:numPr>
      <w:spacing w:before="320" w:after="200"/>
      <w:outlineLvl w:val="3"/>
    </w:pPr>
    <w:rPr>
      <w:b/>
      <w:bCs/>
      <w:sz w:val="26"/>
      <w:szCs w:val="26"/>
      <w:lang w:val="en-US"/>
    </w:rPr>
  </w:style>
  <w:style w:type="paragraph" w:styleId="Heading5">
    <w:name w:val="Heading 5"/>
    <w:basedOn w:val="Normal"/>
    <w:next w:val="Normal"/>
    <w:qFormat/>
    <w:pPr>
      <w:keepNext w:val="true"/>
      <w:keepLines/>
      <w:numPr>
        <w:ilvl w:val="4"/>
        <w:numId w:val="1"/>
      </w:numPr>
      <w:spacing w:before="320" w:after="200"/>
      <w:outlineLvl w:val="4"/>
    </w:pPr>
    <w:rPr>
      <w:b/>
      <w:bCs/>
      <w:sz w:val="24"/>
      <w:szCs w:val="24"/>
      <w:lang w:val="en-US"/>
    </w:rPr>
  </w:style>
  <w:style w:type="paragraph" w:styleId="Heading6">
    <w:name w:val="Heading 6"/>
    <w:basedOn w:val="Normal"/>
    <w:next w:val="Normal"/>
    <w:qFormat/>
    <w:pPr>
      <w:keepNext w:val="true"/>
      <w:keepLines/>
      <w:numPr>
        <w:ilvl w:val="5"/>
        <w:numId w:val="1"/>
      </w:numPr>
      <w:spacing w:before="320" w:after="200"/>
      <w:outlineLvl w:val="5"/>
    </w:pPr>
    <w:rPr>
      <w:b/>
      <w:bCs/>
      <w:lang w:val="en-US"/>
    </w:rPr>
  </w:style>
  <w:style w:type="paragraph" w:styleId="Heading7">
    <w:name w:val="Heading 7"/>
    <w:basedOn w:val="Normal"/>
    <w:next w:val="Normal"/>
    <w:qFormat/>
    <w:pPr>
      <w:keepNext w:val="true"/>
      <w:keepLines/>
      <w:numPr>
        <w:ilvl w:val="6"/>
        <w:numId w:val="1"/>
      </w:numPr>
      <w:spacing w:before="320" w:after="200"/>
      <w:outlineLvl w:val="6"/>
    </w:pPr>
    <w:rPr>
      <w:b/>
      <w:bCs/>
      <w:i/>
      <w:iCs/>
      <w:lang w:val="en-US"/>
    </w:rPr>
  </w:style>
  <w:style w:type="paragraph" w:styleId="Heading8">
    <w:name w:val="Heading 8"/>
    <w:basedOn w:val="Normal"/>
    <w:next w:val="Normal"/>
    <w:qFormat/>
    <w:pPr>
      <w:keepNext w:val="true"/>
      <w:keepLines/>
      <w:numPr>
        <w:ilvl w:val="7"/>
        <w:numId w:val="1"/>
      </w:numPr>
      <w:spacing w:before="320" w:after="200"/>
      <w:outlineLvl w:val="7"/>
    </w:pPr>
    <w:rPr>
      <w:i/>
      <w:iCs/>
      <w:lang w:val="en-US"/>
    </w:rPr>
  </w:style>
  <w:style w:type="paragraph" w:styleId="Heading9">
    <w:name w:val="Heading 9"/>
    <w:basedOn w:val="Normal"/>
    <w:next w:val="Normal"/>
    <w:qFormat/>
    <w:pPr>
      <w:keepNext w:val="true"/>
      <w:keepLines/>
      <w:numPr>
        <w:ilvl w:val="8"/>
        <w:numId w:val="1"/>
      </w:numPr>
      <w:spacing w:before="320" w:after="200"/>
      <w:outlineLvl w:val="8"/>
    </w:pPr>
    <w:rPr>
      <w:i/>
      <w:iCs/>
      <w:sz w:val="21"/>
      <w:szCs w:val="21"/>
      <w:lang w:val="en-US"/>
    </w:rPr>
  </w:style>
  <w:style w:type="character" w:styleId="DefaultParagraphFont" w:default="1">
    <w:name w:val="Default Paragraph Font"/>
    <w:uiPriority w:val="1"/>
    <w:semiHidden/>
    <w:unhideWhenUsed/>
    <w:qFormat/>
    <w:rPr/>
  </w:style>
  <w:style w:type="character" w:styleId="1" w:customStyle="1">
    <w:name w:val="Название Знак1"/>
    <w:uiPriority w:val="10"/>
    <w:qFormat/>
    <w:rPr>
      <w:sz w:val="48"/>
      <w:szCs w:val="48"/>
    </w:rPr>
  </w:style>
  <w:style w:type="character" w:styleId="11" w:customStyle="1">
    <w:name w:val="Подзаголовок Знак1"/>
    <w:uiPriority w:val="11"/>
    <w:qFormat/>
    <w:rPr>
      <w:sz w:val="24"/>
      <w:szCs w:val="24"/>
    </w:rPr>
  </w:style>
  <w:style w:type="character" w:styleId="21" w:customStyle="1">
    <w:name w:val="Цитата 2 Знак1"/>
    <w:link w:val="Quote"/>
    <w:uiPriority w:val="29"/>
    <w:qFormat/>
    <w:rPr>
      <w:i/>
    </w:rPr>
  </w:style>
  <w:style w:type="character" w:styleId="12" w:customStyle="1">
    <w:name w:val="Выделенная цитата Знак1"/>
    <w:link w:val="IntenseQuote"/>
    <w:uiPriority w:val="30"/>
    <w:qFormat/>
    <w:rPr>
      <w:i/>
    </w:rPr>
  </w:style>
  <w:style w:type="character" w:styleId="13" w:customStyle="1">
    <w:name w:val="Текст сноски Знак1"/>
    <w:uiPriority w:val="99"/>
    <w:qFormat/>
    <w:rPr>
      <w:sz w:val="18"/>
    </w:rPr>
  </w:style>
  <w:style w:type="character" w:styleId="Style5">
    <w:name w:val="Символ сноски"/>
    <w:uiPriority w:val="99"/>
    <w:unhideWhenUsed/>
    <w:qFormat/>
    <w:rPr>
      <w:vertAlign w:val="superscript"/>
    </w:rPr>
  </w:style>
  <w:style w:type="character" w:styleId="FootnoteReference">
    <w:name w:val="Footnote Reference"/>
    <w:rPr>
      <w:vertAlign w:val="superscript"/>
    </w:rPr>
  </w:style>
  <w:style w:type="character" w:styleId="14" w:customStyle="1">
    <w:name w:val="Текст концевой сноски Знак1"/>
    <w:uiPriority w:val="99"/>
    <w:qFormat/>
    <w:rPr>
      <w:sz w:val="20"/>
    </w:rPr>
  </w:style>
  <w:style w:type="character" w:styleId="Style6">
    <w:name w:val="Символ концевой сноски"/>
    <w:uiPriority w:val="99"/>
    <w:semiHidden/>
    <w:unhideWhenUsed/>
    <w:qFormat/>
    <w:rPr>
      <w:vertAlign w:val="superscript"/>
    </w:rPr>
  </w:style>
  <w:style w:type="character" w:styleId="EndnoteReference">
    <w:name w:val="Endnote Reference"/>
    <w:rPr>
      <w:vertAlign w:val="superscript"/>
    </w:rPr>
  </w:style>
  <w:style w:type="character" w:styleId="Heading1Char" w:customStyle="1">
    <w:name w:val="Heading 1 Char"/>
    <w:qFormat/>
    <w:rPr>
      <w:rFonts w:ascii="Arial" w:hAnsi="Arial" w:eastAsia="Arial" w:cs="Arial"/>
      <w:sz w:val="40"/>
      <w:szCs w:val="40"/>
    </w:rPr>
  </w:style>
  <w:style w:type="character" w:styleId="Heading2Char" w:customStyle="1">
    <w:name w:val="Heading 2 Char"/>
    <w:qFormat/>
    <w:rPr>
      <w:rFonts w:ascii="Arial" w:hAnsi="Arial" w:eastAsia="Arial" w:cs="Arial"/>
      <w:sz w:val="34"/>
    </w:rPr>
  </w:style>
  <w:style w:type="character" w:styleId="Heading3Char" w:customStyle="1">
    <w:name w:val="Heading 3 Char"/>
    <w:qFormat/>
    <w:rPr>
      <w:rFonts w:ascii="Arial" w:hAnsi="Arial" w:eastAsia="Arial" w:cs="Arial"/>
      <w:sz w:val="30"/>
      <w:szCs w:val="30"/>
    </w:rPr>
  </w:style>
  <w:style w:type="character" w:styleId="Heading4Char" w:customStyle="1">
    <w:name w:val="Heading 4 Char"/>
    <w:qFormat/>
    <w:rPr>
      <w:rFonts w:ascii="Arial" w:hAnsi="Arial" w:eastAsia="Arial" w:cs="Arial"/>
      <w:b/>
      <w:bCs/>
      <w:sz w:val="26"/>
      <w:szCs w:val="26"/>
    </w:rPr>
  </w:style>
  <w:style w:type="character" w:styleId="Heading5Char" w:customStyle="1">
    <w:name w:val="Heading 5 Char"/>
    <w:qFormat/>
    <w:rPr>
      <w:rFonts w:ascii="Arial" w:hAnsi="Arial" w:eastAsia="Arial" w:cs="Arial"/>
      <w:b/>
      <w:bCs/>
      <w:sz w:val="24"/>
      <w:szCs w:val="24"/>
    </w:rPr>
  </w:style>
  <w:style w:type="character" w:styleId="Heading6Char" w:customStyle="1">
    <w:name w:val="Heading 6 Char"/>
    <w:qFormat/>
    <w:rPr>
      <w:rFonts w:ascii="Arial" w:hAnsi="Arial" w:eastAsia="Arial" w:cs="Arial"/>
      <w:b/>
      <w:bCs/>
      <w:sz w:val="22"/>
      <w:szCs w:val="22"/>
    </w:rPr>
  </w:style>
  <w:style w:type="character" w:styleId="Heading7Char" w:customStyle="1">
    <w:name w:val="Heading 7 Char"/>
    <w:qFormat/>
    <w:rPr>
      <w:rFonts w:ascii="Arial" w:hAnsi="Arial" w:eastAsia="Arial" w:cs="Arial"/>
      <w:b/>
      <w:bCs/>
      <w:i/>
      <w:iCs/>
      <w:sz w:val="22"/>
      <w:szCs w:val="22"/>
    </w:rPr>
  </w:style>
  <w:style w:type="character" w:styleId="Heading8Char" w:customStyle="1">
    <w:name w:val="Heading 8 Char"/>
    <w:qFormat/>
    <w:rPr>
      <w:rFonts w:ascii="Arial" w:hAnsi="Arial" w:eastAsia="Arial" w:cs="Arial"/>
      <w:i/>
      <w:iCs/>
      <w:sz w:val="22"/>
      <w:szCs w:val="22"/>
    </w:rPr>
  </w:style>
  <w:style w:type="character" w:styleId="Heading9Char" w:customStyle="1">
    <w:name w:val="Heading 9 Char"/>
    <w:qFormat/>
    <w:rPr>
      <w:rFonts w:ascii="Arial" w:hAnsi="Arial" w:eastAsia="Arial" w:cs="Arial"/>
      <w:i/>
      <w:iCs/>
      <w:sz w:val="21"/>
      <w:szCs w:val="21"/>
    </w:rPr>
  </w:style>
  <w:style w:type="character" w:styleId="Style7" w:customStyle="1">
    <w:name w:val="Название Знак"/>
    <w:qFormat/>
    <w:rPr>
      <w:sz w:val="48"/>
      <w:szCs w:val="48"/>
    </w:rPr>
  </w:style>
  <w:style w:type="character" w:styleId="Style8" w:customStyle="1">
    <w:name w:val="Подзаголовок Знак"/>
    <w:qFormat/>
    <w:rPr>
      <w:sz w:val="24"/>
      <w:szCs w:val="24"/>
    </w:rPr>
  </w:style>
  <w:style w:type="character" w:styleId="2" w:customStyle="1">
    <w:name w:val="Цитата 2 Знак"/>
    <w:qFormat/>
    <w:rPr>
      <w:i/>
    </w:rPr>
  </w:style>
  <w:style w:type="character" w:styleId="Style9" w:customStyle="1">
    <w:name w:val="Выделенная цитата Знак"/>
    <w:qFormat/>
    <w:rPr>
      <w:i/>
    </w:rPr>
  </w:style>
  <w:style w:type="character" w:styleId="HeaderChar" w:customStyle="1">
    <w:name w:val="Header Char"/>
    <w:qFormat/>
    <w:rPr/>
  </w:style>
  <w:style w:type="character" w:styleId="FooterChar" w:customStyle="1">
    <w:name w:val="Footer Char"/>
    <w:qFormat/>
    <w:rPr/>
  </w:style>
  <w:style w:type="character" w:styleId="CaptionChar" w:customStyle="1">
    <w:name w:val="Caption Char"/>
    <w:qFormat/>
    <w:rPr/>
  </w:style>
  <w:style w:type="character" w:styleId="Hyperlink">
    <w:name w:val="Hyperlink"/>
    <w:rPr>
      <w:color w:val="0563C1"/>
      <w:u w:val="single"/>
    </w:rPr>
  </w:style>
  <w:style w:type="character" w:styleId="Style10" w:customStyle="1">
    <w:name w:val="Текст сноски Знак"/>
    <w:qFormat/>
    <w:rPr>
      <w:sz w:val="18"/>
    </w:rPr>
  </w:style>
  <w:style w:type="character" w:styleId="FootnoteCharacters" w:customStyle="1">
    <w:name w:val="Footnote Characters"/>
    <w:qFormat/>
    <w:rPr>
      <w:vertAlign w:val="superscript"/>
    </w:rPr>
  </w:style>
  <w:style w:type="character" w:styleId="Style11" w:customStyle="1">
    <w:name w:val="Текст концевой сноски Знак"/>
    <w:qFormat/>
    <w:rPr>
      <w:sz w:val="20"/>
    </w:rPr>
  </w:style>
  <w:style w:type="character" w:styleId="EndnoteCharacters" w:customStyle="1">
    <w:name w:val="Endnote Characters"/>
    <w:qFormat/>
    <w:rPr>
      <w:vertAlign w:val="superscript"/>
    </w:rPr>
  </w:style>
  <w:style w:type="character" w:styleId="Style12" w:customStyle="1">
    <w:name w:val="Текст выноски Знак"/>
    <w:qFormat/>
    <w:rPr>
      <w:rFonts w:ascii="Tahoma" w:hAnsi="Tahoma" w:cs="Tahoma"/>
      <w:sz w:val="16"/>
      <w:szCs w:val="16"/>
    </w:rPr>
  </w:style>
  <w:style w:type="paragraph" w:styleId="Style13" w:customStyle="1">
    <w:name w:val="Заголовок"/>
    <w:basedOn w:val="Normal"/>
    <w:next w:val="Normal"/>
    <w:qFormat/>
    <w:pPr>
      <w:spacing w:before="300" w:after="200"/>
      <w:contextualSpacing/>
    </w:pPr>
    <w:rPr>
      <w:sz w:val="48"/>
      <w:szCs w:val="48"/>
      <w:lang w:val="en-US"/>
    </w:rPr>
  </w:style>
  <w:style w:type="paragraph" w:styleId="BodyText">
    <w:name w:val="Body Text"/>
    <w:basedOn w:val="Normal"/>
    <w:pPr>
      <w:spacing w:before="0" w:after="140"/>
    </w:pPr>
    <w:rPr/>
  </w:style>
  <w:style w:type="paragraph" w:styleId="List">
    <w:name w:val="List"/>
    <w:basedOn w:val="BodyText"/>
    <w:pPr/>
    <w:rPr/>
  </w:style>
  <w:style w:type="paragraph" w:styleId="Caption">
    <w:name w:val="Caption"/>
    <w:basedOn w:val="Normal"/>
    <w:qFormat/>
    <w:pPr>
      <w:suppressLineNumbers/>
      <w:spacing w:before="120" w:after="120"/>
    </w:pPr>
    <w:rPr>
      <w:rFonts w:cs="Arial"/>
      <w:i/>
      <w:iCs/>
      <w:sz w:val="24"/>
      <w:szCs w:val="24"/>
    </w:rPr>
  </w:style>
  <w:style w:type="paragraph" w:styleId="Style14" w:customStyle="1">
    <w:name w:val="Указатель"/>
    <w:basedOn w:val="Normal"/>
    <w:qFormat/>
    <w:pPr>
      <w:suppressLineNumbers/>
    </w:pPr>
    <w:rPr/>
  </w:style>
  <w:style w:type="paragraph" w:styleId="ListParagraph">
    <w:name w:val="List Paragraph"/>
    <w:basedOn w:val="Normal"/>
    <w:qFormat/>
    <w:pPr>
      <w:spacing w:before="0" w:after="200"/>
      <w:ind w:left="720"/>
      <w:contextualSpacing/>
    </w:pPr>
    <w:rPr/>
  </w:style>
  <w:style w:type="paragraph" w:styleId="NoSpacing">
    <w:name w:val="No Spacing"/>
    <w:basedOn w:val="Normal"/>
    <w:qFormat/>
    <w:pPr>
      <w:spacing w:lineRule="auto" w:line="240" w:before="0" w:after="0"/>
    </w:pPr>
    <w:rPr/>
  </w:style>
  <w:style w:type="paragraph" w:styleId="Title">
    <w:name w:val="Title"/>
    <w:basedOn w:val="Normal"/>
    <w:next w:val="Normal"/>
    <w:link w:val="1"/>
    <w:uiPriority w:val="10"/>
    <w:qFormat/>
    <w:pPr>
      <w:spacing w:before="300" w:after="200"/>
      <w:contextualSpacing/>
    </w:pPr>
    <w:rPr>
      <w:sz w:val="48"/>
      <w:szCs w:val="48"/>
    </w:rPr>
  </w:style>
  <w:style w:type="paragraph" w:styleId="Quote">
    <w:name w:val="Quote"/>
    <w:basedOn w:val="Normal"/>
    <w:next w:val="Normal"/>
    <w:link w:val="21"/>
    <w:qFormat/>
    <w:pPr>
      <w:ind w:left="720" w:right="720"/>
    </w:pPr>
    <w:rPr>
      <w:i/>
      <w:sz w:val="20"/>
      <w:szCs w:val="20"/>
      <w:lang w:val="en-US"/>
    </w:rPr>
  </w:style>
  <w:style w:type="paragraph" w:styleId="IntenseQuote">
    <w:name w:val="Intense Quote"/>
    <w:basedOn w:val="Normal"/>
    <w:next w:val="Normal"/>
    <w:link w:val="12"/>
    <w:qFormat/>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val="en-US"/>
    </w:rPr>
  </w:style>
  <w:style w:type="paragraph" w:styleId="IndexHeading">
    <w:name w:val="Index Heading"/>
    <w:basedOn w:val="Style13"/>
    <w:pPr/>
    <w:rPr/>
  </w:style>
  <w:style w:type="paragraph" w:styleId="TOCHeading">
    <w:name w:val="TOC Heading"/>
    <w:qFormat/>
    <w:pPr>
      <w:widowControl/>
      <w:bidi w:val="0"/>
      <w:spacing w:lineRule="auto" w:line="276" w:before="0" w:after="200"/>
      <w:jc w:val="left"/>
    </w:pPr>
    <w:rPr>
      <w:rFonts w:ascii="Arial" w:hAnsi="Arial" w:eastAsia="Arial" w:cs="Times New Roman"/>
      <w:color w:val="auto"/>
      <w:kern w:val="0"/>
      <w:sz w:val="22"/>
      <w:szCs w:val="22"/>
      <w:lang w:val="ru-RU" w:bidi="ar-SA" w:eastAsia="zh-CN"/>
    </w:rPr>
  </w:style>
  <w:style w:type="paragraph" w:styleId="TableofFigures">
    <w:name w:val="Table of Figures"/>
    <w:basedOn w:val="Normal"/>
    <w:next w:val="Normal"/>
    <w:qFormat/>
    <w:pPr>
      <w:spacing w:before="0" w:after="0"/>
    </w:pPr>
    <w:rPr/>
  </w:style>
  <w:style w:type="paragraph" w:styleId="Caption1">
    <w:name w:val="caption1"/>
    <w:basedOn w:val="Normal"/>
    <w:next w:val="Normal"/>
    <w:qFormat/>
    <w:pPr/>
    <w:rPr>
      <w:b/>
      <w:bCs/>
      <w:color w:val="5B9BD5"/>
      <w:sz w:val="18"/>
      <w:szCs w:val="18"/>
    </w:rPr>
  </w:style>
  <w:style w:type="paragraph" w:styleId="Subtitle">
    <w:name w:val="Subtitle"/>
    <w:basedOn w:val="Normal"/>
    <w:next w:val="Normal"/>
    <w:link w:val="11"/>
    <w:qFormat/>
    <w:pPr>
      <w:spacing w:before="200" w:after="200"/>
    </w:pPr>
    <w:rPr>
      <w:sz w:val="24"/>
      <w:szCs w:val="24"/>
      <w:lang w:val="en-US"/>
    </w:rPr>
  </w:style>
  <w:style w:type="paragraph" w:styleId="Style15" w:customStyle="1">
    <w:name w:val="Колонтитул"/>
    <w:basedOn w:val="Normal"/>
    <w:qFormat/>
    <w:pPr>
      <w:suppressLineNumbers/>
      <w:tabs>
        <w:tab w:val="clear" w:pos="708"/>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FootnoteText">
    <w:name w:val="Footnote Text"/>
    <w:basedOn w:val="Normal"/>
    <w:link w:val="13"/>
    <w:pPr>
      <w:spacing w:lineRule="auto" w:line="240" w:before="0" w:after="40"/>
    </w:pPr>
    <w:rPr>
      <w:sz w:val="18"/>
      <w:szCs w:val="20"/>
      <w:lang w:val="en-US"/>
    </w:rPr>
  </w:style>
  <w:style w:type="paragraph" w:styleId="EndnoteText">
    <w:name w:val="Endnote Text"/>
    <w:basedOn w:val="Normal"/>
    <w:link w:val="14"/>
    <w:pPr>
      <w:spacing w:lineRule="auto" w:line="240" w:before="0" w:after="0"/>
    </w:pPr>
    <w:rPr>
      <w:sz w:val="20"/>
      <w:szCs w:val="20"/>
      <w:lang w:val="en-US"/>
    </w:rPr>
  </w:style>
  <w:style w:type="paragraph" w:styleId="TOC1">
    <w:name w:val="TOC 1"/>
    <w:basedOn w:val="Normal"/>
    <w:next w:val="Normal"/>
    <w:pPr>
      <w:spacing w:before="0" w:after="57"/>
    </w:pPr>
    <w:rPr/>
  </w:style>
  <w:style w:type="paragraph" w:styleId="TOC2">
    <w:name w:val="TOC 2"/>
    <w:basedOn w:val="Normal"/>
    <w:next w:val="Normal"/>
    <w:pPr>
      <w:spacing w:before="0" w:after="57"/>
      <w:ind w:left="283"/>
    </w:pPr>
    <w:rPr/>
  </w:style>
  <w:style w:type="paragraph" w:styleId="TOC3">
    <w:name w:val="TOC 3"/>
    <w:basedOn w:val="Normal"/>
    <w:next w:val="Normal"/>
    <w:pPr>
      <w:spacing w:before="0" w:after="57"/>
      <w:ind w:left="567"/>
    </w:pPr>
    <w:rPr/>
  </w:style>
  <w:style w:type="paragraph" w:styleId="TOC4">
    <w:name w:val="TOC 4"/>
    <w:basedOn w:val="Normal"/>
    <w:next w:val="Normal"/>
    <w:pPr>
      <w:spacing w:before="0" w:after="57"/>
      <w:ind w:left="850"/>
    </w:pPr>
    <w:rPr/>
  </w:style>
  <w:style w:type="paragraph" w:styleId="TOC5">
    <w:name w:val="TOC 5"/>
    <w:basedOn w:val="Normal"/>
    <w:next w:val="Normal"/>
    <w:pPr>
      <w:spacing w:before="0" w:after="57"/>
      <w:ind w:left="1134"/>
    </w:pPr>
    <w:rPr/>
  </w:style>
  <w:style w:type="paragraph" w:styleId="TOC6">
    <w:name w:val="TOC 6"/>
    <w:basedOn w:val="Normal"/>
    <w:next w:val="Normal"/>
    <w:pPr>
      <w:spacing w:before="0" w:after="57"/>
      <w:ind w:left="1417"/>
    </w:pPr>
    <w:rPr/>
  </w:style>
  <w:style w:type="paragraph" w:styleId="TOC7">
    <w:name w:val="TOC 7"/>
    <w:basedOn w:val="Normal"/>
    <w:next w:val="Normal"/>
    <w:pPr>
      <w:spacing w:before="0" w:after="57"/>
      <w:ind w:left="1701"/>
    </w:pPr>
    <w:rPr/>
  </w:style>
  <w:style w:type="paragraph" w:styleId="TOC8">
    <w:name w:val="TOC 8"/>
    <w:basedOn w:val="Normal"/>
    <w:next w:val="Normal"/>
    <w:pPr>
      <w:spacing w:before="0" w:after="57"/>
      <w:ind w:left="1984"/>
    </w:pPr>
    <w:rPr/>
  </w:style>
  <w:style w:type="paragraph" w:styleId="TOC9">
    <w:name w:val="TOC 9"/>
    <w:basedOn w:val="Normal"/>
    <w:next w:val="Normal"/>
    <w:pPr>
      <w:spacing w:before="0" w:after="57"/>
      <w:ind w:left="2268"/>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16" w:customStyle="1">
    <w:name w:val="Содержимое таблицы"/>
    <w:basedOn w:val="Normal"/>
    <w:qFormat/>
    <w:pPr>
      <w:widowControl w:val="false"/>
      <w:suppressLineNumbers/>
    </w:pPr>
    <w:rPr/>
  </w:style>
  <w:style w:type="paragraph" w:styleId="Style17" w:customStyle="1">
    <w:name w:val="Заголовок таблицы"/>
    <w:basedOn w:val="Style16"/>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uiPriority w:val="99"/>
    <w:tblPr>
      <w:tblStyleRowBandSize w:val="1"/>
      <w:tblStyleColBandSize w:val="1"/>
      <w:tblCellMar>
        <w:top w:w="0" w:type="dxa"/>
        <w:left w:w="0" w:type="dxa"/>
        <w:bottom w:w="0" w:type="dxa"/>
        <w:right w:w="0" w:type="dxa"/>
      </w:tblCellMar>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PlainTable4">
    <w:name w:val="Plain Table 4"/>
    <w:uiPriority w:val="99"/>
    <w:tblPr>
      <w:tblStyleRowBandSize w:val="1"/>
      <w:tblStyleColBandSize w:val="1"/>
      <w:tblCellMar>
        <w:top w:w="0" w:type="dxa"/>
        <w:left w:w="0" w:type="dxa"/>
        <w:bottom w:w="0" w:type="dxa"/>
        <w:right w:w="0" w:type="dxa"/>
      </w:tblCellMar>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PlainTable5">
    <w:name w:val="Plain Table 5"/>
    <w:uiPriority w:val="99"/>
    <w:tblPr>
      <w:tblStyleRowBandSize w:val="1"/>
      <w:tblStyleColBandSize w:val="1"/>
      <w:tblCellMar>
        <w:top w:w="0" w:type="dxa"/>
        <w:left w:w="0" w:type="dxa"/>
        <w:bottom w:w="0" w:type="dxa"/>
        <w:right w:w="0" w:type="dxa"/>
      </w:tblCellMar>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customStyle="1" w:styleId="GridTable1Light">
    <w:name w:val="Grid Table 1 Light"/>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rPr>
      <w:tblPr/>
      <w:tcPr>
        <w:tcBorders>
          <w:bottom w:val="single" w:color="6A6A6A"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rPr>
      <w:tblPr/>
      <w:tcPr>
        <w:tcBorders>
          <w:bottom w:val="single" w:color="97B4D8"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rPr>
      <w:tblPr/>
      <w:tcPr>
        <w:tcBorders>
          <w:bottom w:val="single" w:color="DA9896"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rPr>
      <w:tblPr/>
      <w:tcPr>
        <w:tcBorders>
          <w:bottom w:val="single" w:color="C4D79D"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rPr>
      <w:tblPr/>
      <w:tcPr>
        <w:tcBorders>
          <w:bottom w:val="single" w:color="B4A4C8"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rPr>
      <w:tblPr/>
      <w:tcPr>
        <w:tcBorders>
          <w:bottom w:val="single" w:color="95CEDD"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rPr>
      <w:tblPr/>
      <w:tcPr>
        <w:tcBorders>
          <w:bottom w:val="single" w:color="FAC192"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GridTable2">
    <w:name w:val="Grid Table 2"/>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AE5F1" w:fill="DAE5F1" w:themeFill="accent1" w:themeFillTint="34"/>
      </w:tcPr>
    </w:tblStylePr>
    <w:tblStylePr w:type="band1Horz">
      <w:rPr>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AE5F1" w:fill="DAE5F1" w:themeFill="accent1" w:themeFillTint="34"/>
      </w:tcPr>
    </w:tblStylePr>
    <w:tblStylePr w:type="band1Horz">
      <w:rPr>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rPr>
      <w:tblPr/>
      <w:tcPr>
        <w:tcBorders>
          <w:top w:val="single" w:color="5D8AC2" w:themeColor="accent1" w:sz="4" w:space="0"/>
        </w:tcBorders>
      </w:tcPr>
    </w:tblStylePr>
    <w:tblStylePr w:type="firstCol">
      <w:rPr>
        <w:b/>
      </w:rPr>
      <w:tblPr/>
    </w:tblStylePr>
    <w:tblStylePr w:type="lastCol">
      <w:rPr>
        <w:b/>
      </w:rPr>
      <w:tblPr/>
    </w:tblStylePr>
    <w:tblStylePr w:type="band1Vert">
      <w:rPr>
        <w:sz w:val="22"/>
      </w:rPr>
      <w:tblPr/>
      <w:tcPr>
        <w:shd w:val="clear" w:color="DCE6F2" w:fill="DCE6F2" w:themeFill="accent1" w:themeFillTint="32"/>
      </w:tcPr>
    </w:tblStylePr>
    <w:tblStylePr w:type="band1Horz">
      <w:rPr>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rPr>
      <w:tblPr/>
      <w:tcPr>
        <w:tcBorders>
          <w:top w:val="single" w:color="D99695" w:themeColor="accent2" w:sz="4" w:space="0"/>
        </w:tcBorders>
      </w:tcPr>
    </w:tblStylePr>
    <w:tblStylePr w:type="firstCol">
      <w:rPr>
        <w:b/>
      </w:rPr>
      <w:tblPr/>
    </w:tblStylePr>
    <w:tblStylePr w:type="lastCol">
      <w:rPr>
        <w:b/>
      </w:rPr>
      <w:tblPr/>
    </w:tblStylePr>
    <w:tblStylePr w:type="band1Vert">
      <w:rPr>
        <w:sz w:val="22"/>
      </w:rPr>
      <w:tblPr/>
      <w:tcPr>
        <w:shd w:val="clear" w:color="F2DCDC" w:fill="F2DCDC" w:themeFill="accent2" w:themeFillTint="32"/>
      </w:tcPr>
    </w:tblStylePr>
    <w:tblStylePr w:type="band1Horz">
      <w:rPr>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rPr>
      <w:tblPr/>
      <w:tcPr>
        <w:tcBorders>
          <w:top w:val="single" w:color="9ABB59" w:themeColor="accent3" w:sz="4" w:space="0"/>
        </w:tcBorders>
      </w:tcPr>
    </w:tblStylePr>
    <w:tblStylePr w:type="firstCol">
      <w:rPr>
        <w:b/>
      </w:rPr>
      <w:tblPr/>
    </w:tblStylePr>
    <w:tblStylePr w:type="lastCol">
      <w:rPr>
        <w:b/>
      </w:rPr>
      <w:tblPr/>
    </w:tblStylePr>
    <w:tblStylePr w:type="band1Vert">
      <w:rPr>
        <w:sz w:val="22"/>
      </w:rPr>
      <w:tblPr/>
      <w:tcPr>
        <w:shd w:val="clear" w:color="EAF1DC" w:fill="EAF1DC" w:themeFill="accent3" w:themeFillTint="34"/>
      </w:tcPr>
    </w:tblStylePr>
    <w:tblStylePr w:type="band1Horz">
      <w:rPr>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rPr>
      <w:tblPr/>
      <w:tcPr>
        <w:tcBorders>
          <w:top w:val="single" w:color="B2A1C6" w:themeColor="accent4" w:sz="4" w:space="0"/>
        </w:tcBorders>
      </w:tcPr>
    </w:tblStylePr>
    <w:tblStylePr w:type="firstCol">
      <w:rPr>
        <w:b/>
      </w:rPr>
      <w:tblPr/>
    </w:tblStylePr>
    <w:tblStylePr w:type="lastCol">
      <w:rPr>
        <w:b/>
      </w:rPr>
      <w:tblPr/>
    </w:tblStylePr>
    <w:tblStylePr w:type="band1Vert">
      <w:rPr>
        <w:sz w:val="22"/>
      </w:rPr>
      <w:tblPr/>
      <w:tcPr>
        <w:shd w:val="clear" w:color="E5DFEC" w:fill="E5DFEC" w:themeFill="accent4" w:themeFillTint="34"/>
      </w:tcPr>
    </w:tblStylePr>
    <w:tblStylePr w:type="band1Horz">
      <w:rPr>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rPr>
      <w:tblPr/>
      <w:tcPr>
        <w:tcBorders>
          <w:top w:val="single" w:color="4BACC6" w:themeColor="accent5" w:sz="4" w:space="0"/>
        </w:tcBorders>
      </w:tcPr>
    </w:tblStylePr>
    <w:tblStylePr w:type="firstCol">
      <w:rPr>
        <w:b/>
      </w:rPr>
      <w:tblPr/>
    </w:tblStylePr>
    <w:tblStylePr w:type="lastCol">
      <w:rPr>
        <w:b/>
      </w:rPr>
      <w:tblPr/>
    </w:tblStylePr>
    <w:tblStylePr w:type="band1Vert">
      <w:rPr>
        <w:sz w:val="22"/>
      </w:rPr>
      <w:tblPr/>
      <w:tcPr>
        <w:shd w:val="clear" w:color="DAEEF3" w:fill="DAEEF3" w:themeFill="accent5" w:themeFillTint="34"/>
      </w:tcPr>
    </w:tblStylePr>
    <w:tblStylePr w:type="band1Horz">
      <w:rPr>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rPr>
      <w:tblPr/>
      <w:tcPr>
        <w:tcBorders>
          <w:top w:val="single" w:color="F79646" w:themeColor="accent6" w:sz="4" w:space="0"/>
        </w:tcBorders>
      </w:tcPr>
    </w:tblStylePr>
    <w:tblStylePr w:type="firstCol">
      <w:rPr>
        <w:b/>
      </w:rPr>
      <w:tblPr/>
    </w:tblStylePr>
    <w:tblStylePr w:type="lastCol">
      <w:rPr>
        <w:b/>
      </w:rPr>
      <w:tblPr/>
    </w:tblStylePr>
    <w:tblStylePr w:type="band1Vert">
      <w:rPr>
        <w:sz w:val="22"/>
      </w:rPr>
      <w:tblPr/>
      <w:tcPr>
        <w:shd w:val="clear" w:color="FDE9D8" w:fill="FDE9D8" w:themeFill="accent6" w:themeFillTint="34"/>
      </w:tcPr>
    </w:tblStylePr>
    <w:tblStylePr w:type="band1Horz">
      <w:rPr>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4F81BD" w:fill="4F81BD" w:themeFill="accent1"/>
      </w:tcPr>
    </w:tblStylePr>
    <w:tblStylePr w:type="lastRow">
      <w:rPr>
        <w:b/>
        <w:sz w:val="22"/>
      </w:rPr>
      <w:tblPr/>
      <w:tcPr>
        <w:tcBorders>
          <w:top w:val="single" w:color="FFFFFF" w:themeColor="light1" w:sz="4" w:space="0"/>
        </w:tcBorders>
        <w:shd w:val="clear" w:color="4F81BD" w:fill="4F81BD" w:themeFill="accent1"/>
      </w:tcPr>
    </w:tblStylePr>
    <w:tblStylePr w:type="firstCol">
      <w:rPr>
        <w:b/>
        <w:sz w:val="22"/>
      </w:rPr>
      <w:tblPr/>
      <w:tcPr>
        <w:shd w:val="clear" w:color="4F81BD" w:fill="4F81BD" w:themeFill="accent1"/>
      </w:tcPr>
    </w:tblStylePr>
    <w:tblStylePr w:type="lastCol">
      <w:rPr>
        <w:b/>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C0504D" w:fill="C0504D" w:themeFill="accent2"/>
      </w:tcPr>
    </w:tblStylePr>
    <w:tblStylePr w:type="lastRow">
      <w:rPr>
        <w:b/>
        <w:sz w:val="22"/>
      </w:rPr>
      <w:tblPr/>
      <w:tcPr>
        <w:tcBorders>
          <w:top w:val="single" w:color="FFFFFF" w:themeColor="light1" w:sz="4" w:space="0"/>
        </w:tcBorders>
        <w:shd w:val="clear" w:color="C0504D" w:fill="C0504D" w:themeFill="accent2"/>
      </w:tcPr>
    </w:tblStylePr>
    <w:tblStylePr w:type="firstCol">
      <w:rPr>
        <w:b/>
        <w:sz w:val="22"/>
      </w:rPr>
      <w:tblPr/>
      <w:tcPr>
        <w:shd w:val="clear" w:color="C0504D" w:fill="C0504D" w:themeFill="accent2"/>
      </w:tcPr>
    </w:tblStylePr>
    <w:tblStylePr w:type="lastCol">
      <w:rPr>
        <w:b/>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9BBB59" w:fill="9BBB59" w:themeFill="accent3"/>
      </w:tcPr>
    </w:tblStylePr>
    <w:tblStylePr w:type="lastRow">
      <w:rPr>
        <w:b/>
        <w:sz w:val="22"/>
      </w:rPr>
      <w:tblPr/>
      <w:tcPr>
        <w:tcBorders>
          <w:top w:val="single" w:color="FFFFFF" w:themeColor="light1" w:sz="4" w:space="0"/>
        </w:tcBorders>
        <w:shd w:val="clear" w:color="9BBB59" w:fill="9BBB59" w:themeFill="accent3"/>
      </w:tcPr>
    </w:tblStylePr>
    <w:tblStylePr w:type="firstCol">
      <w:rPr>
        <w:b/>
        <w:sz w:val="22"/>
      </w:rPr>
      <w:tblPr/>
      <w:tcPr>
        <w:shd w:val="clear" w:color="9BBB59" w:fill="9BBB59" w:themeFill="accent3"/>
      </w:tcPr>
    </w:tblStylePr>
    <w:tblStylePr w:type="lastCol">
      <w:rPr>
        <w:b/>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8064A2" w:fill="8064A2" w:themeFill="accent4"/>
      </w:tcPr>
    </w:tblStylePr>
    <w:tblStylePr w:type="lastRow">
      <w:rPr>
        <w:b/>
        <w:sz w:val="22"/>
      </w:rPr>
      <w:tblPr/>
      <w:tcPr>
        <w:tcBorders>
          <w:top w:val="single" w:color="FFFFFF" w:themeColor="light1" w:sz="4" w:space="0"/>
        </w:tcBorders>
        <w:shd w:val="clear" w:color="8064A2" w:fill="8064A2" w:themeFill="accent4"/>
      </w:tcPr>
    </w:tblStylePr>
    <w:tblStylePr w:type="firstCol">
      <w:rPr>
        <w:b/>
        <w:sz w:val="22"/>
      </w:rPr>
      <w:tblPr/>
      <w:tcPr>
        <w:shd w:val="clear" w:color="8064A2" w:fill="8064A2" w:themeFill="accent4"/>
      </w:tcPr>
    </w:tblStylePr>
    <w:tblStylePr w:type="lastCol">
      <w:rPr>
        <w:b/>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4BACC6" w:fill="4BACC6" w:themeFill="accent5"/>
      </w:tcPr>
    </w:tblStylePr>
    <w:tblStylePr w:type="lastRow">
      <w:rPr>
        <w:b/>
        <w:sz w:val="22"/>
      </w:rPr>
      <w:tblPr/>
      <w:tcPr>
        <w:tcBorders>
          <w:top w:val="single" w:color="FFFFFF" w:themeColor="light1" w:sz="4" w:space="0"/>
        </w:tcBorders>
        <w:shd w:val="clear" w:color="4BACC6" w:fill="4BACC6" w:themeFill="accent5"/>
      </w:tcPr>
    </w:tblStylePr>
    <w:tblStylePr w:type="firstCol">
      <w:rPr>
        <w:b/>
        <w:sz w:val="22"/>
      </w:rPr>
      <w:tblPr/>
      <w:tcPr>
        <w:shd w:val="clear" w:color="4BACC6" w:fill="4BACC6" w:themeFill="accent5"/>
      </w:tcPr>
    </w:tblStylePr>
    <w:tblStylePr w:type="lastCol">
      <w:rPr>
        <w:b/>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sz w:val="22"/>
      </w:rPr>
      <w:tblPr/>
      <w:tcPr>
        <w:shd w:val="clear" w:color="F79646" w:fill="F79646" w:themeFill="accent6"/>
      </w:tcPr>
    </w:tblStylePr>
    <w:tblStylePr w:type="lastRow">
      <w:rPr>
        <w:b/>
        <w:sz w:val="22"/>
      </w:rPr>
      <w:tblPr/>
      <w:tcPr>
        <w:tcBorders>
          <w:top w:val="single" w:color="FFFFFF" w:themeColor="light1" w:sz="4" w:space="0"/>
        </w:tcBorders>
        <w:shd w:val="clear" w:color="F79646" w:fill="F79646" w:themeFill="accent6"/>
      </w:tcPr>
    </w:tblStylePr>
    <w:tblStylePr w:type="firstCol">
      <w:rPr>
        <w:b/>
        <w:sz w:val="22"/>
      </w:rPr>
      <w:tblPr/>
      <w:tcPr>
        <w:shd w:val="clear" w:color="F79646" w:fill="F79646" w:themeFill="accent6"/>
      </w:tcPr>
    </w:tblStylePr>
    <w:tblStylePr w:type="lastCol">
      <w:rPr>
        <w:b/>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themeColor="text1" w:themeTint="80" w:themeShade="95"/>
      </w:rPr>
      <w:tblPr/>
      <w:tcPr>
        <w:tcBorders>
          <w:bottom w:val="single" w:color="7F7F7F"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themeColor="accent1" w:themeTint="80" w:themeShade="95"/>
      </w:rPr>
      <w:tblPr/>
      <w:tcPr>
        <w:tcBorders>
          <w:bottom w:val="single" w:color="A6BFDD"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AE5F1" w:fill="DAE5F1" w:themeFill="accent1" w:themeFillTint="34"/>
      </w:tcPr>
    </w:tblStylePr>
    <w:tblStylePr w:type="band1Horz">
      <w:rPr>
        <w:color w:themeColor="accent1" w:themeTint="80" w:themeShade="95"/>
        <w:sz w:val="22"/>
      </w:rPr>
      <w:tblPr/>
      <w:tcPr>
        <w:shd w:val="clear" w:color="DAE5F1" w:fill="DAE5F1"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themeColor="accent2" w:themeTint="97" w:themeShade="95"/>
      </w:rPr>
      <w:tblPr/>
      <w:tcPr>
        <w:tcBorders>
          <w:bottom w:val="single" w:color="D99695"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2DCDC" w:fill="F2DCDC" w:themeFill="accent2" w:themeFillTint="32"/>
      </w:tcPr>
    </w:tblStylePr>
    <w:tblStylePr w:type="band1Horz">
      <w:rPr>
        <w:color w:themeColor="accent2" w:themeTint="97" w:themeShade="95"/>
        <w:sz w:val="22"/>
      </w:rPr>
      <w:tblPr/>
      <w:tcPr>
        <w:shd w:val="clear" w:color="F2DCDC" w:fill="F2DCDC"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themeColor="accent3" w:themeTint="fe" w:themeShade="95"/>
      </w:rPr>
      <w:tblPr/>
      <w:tcPr>
        <w:tcBorders>
          <w:bottom w:val="single" w:color="9ABB59"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AF1DC" w:fill="EAF1DC" w:themeFill="accent3" w:themeFillTint="34"/>
      </w:tcPr>
    </w:tblStylePr>
    <w:tblStylePr w:type="band1Horz">
      <w:rPr>
        <w:color w:themeColor="accent3" w:themeTint="fe" w:themeShade="95"/>
        <w:sz w:val="22"/>
      </w:rPr>
      <w:tblPr/>
      <w:tcPr>
        <w:shd w:val="clear" w:color="EAF1DC" w:fill="EAF1D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themeColor="accent4" w:themeTint="9a" w:themeShade="95"/>
      </w:rPr>
      <w:tblPr/>
      <w:tcPr>
        <w:tcBorders>
          <w:bottom w:val="single" w:color="B2A1C6"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E5DFEC" w:fill="E5DFEC" w:themeFill="accent4" w:themeFillTint="34"/>
      </w:tcPr>
    </w:tblStylePr>
    <w:tblStylePr w:type="band1Horz">
      <w:rPr>
        <w:color w:themeColor="accent4" w:themeTint="9a" w:themeShade="95"/>
        <w:sz w:val="22"/>
      </w:rPr>
      <w:tblPr/>
      <w:tcPr>
        <w:shd w:val="clear" w:color="E5DFEC" w:fill="E5DFEC"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themeColor="accent5" w:themeShade="95"/>
      </w:rPr>
      <w:tblPr/>
      <w:tcPr>
        <w:tcBorders>
          <w:bottom w:val="single" w:color="4BACC6"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AEEF3" w:fill="DAEEF3" w:themeFill="accent5" w:themeFillTint="34"/>
      </w:tcPr>
    </w:tblStylePr>
    <w:tblStylePr w:type="band1Horz">
      <w:rPr>
        <w:color w:themeColor="accent5" w:themeShade="95"/>
        <w:sz w:val="22"/>
      </w:rPr>
      <w:tblPr/>
      <w:tcPr>
        <w:shd w:val="clear" w:color="DAEEF3" w:fill="DAEEF3" w:themeFill="accent5" w:themeFillTint="34"/>
      </w:tcPr>
    </w:tblStylePr>
    <w:tblStylePr w:type="band2Horz">
      <w:rPr>
        <w:color w:themeColor="accent5" w:themeShade="95"/>
        <w:sz w:val="22"/>
      </w:rPr>
      <w:tblPr/>
    </w:tblStylePr>
  </w:style>
  <w:style w:type="table" w:customStyle="1" w:styleId="GridTable6Colorful-Accent6">
    <w:name w:val="Grid Table 6 Colorful - Accent 6"/>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themeColor="accent5" w:themeShade="95"/>
      </w:rPr>
      <w:tblPr/>
      <w:tcPr>
        <w:tcBorders>
          <w:bottom w:val="single" w:color="F79646"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FDE9D8" w:fill="FDE9D8" w:themeFill="accent6" w:themeFillTint="34"/>
      </w:tcPr>
    </w:tblStylePr>
    <w:tblStylePr w:type="band1Horz">
      <w:rPr>
        <w:color w:themeColor="accent5" w:themeShade="95"/>
        <w:sz w:val="22"/>
      </w:rPr>
      <w:tblPr/>
      <w:tcPr>
        <w:shd w:val="clear" w:color="FDE9D8" w:fill="FDE9D8" w:themeFill="accent6" w:themeFillTint="34"/>
      </w:tcPr>
    </w:tblStylePr>
    <w:tblStylePr w:type="band2Horz">
      <w:rPr>
        <w:color w:themeColor="accent5" w:themeShade="95"/>
        <w:sz w:val="22"/>
      </w:rPr>
      <w:tblPr/>
    </w:tblStylePr>
  </w:style>
  <w:style w:type="table" w:customStyle="1" w:styleId="GridTable7Colorful">
    <w:name w:val="Grid Table 7 Colorfu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themeColor="accent1" w:themeTint="80" w:themeShade="95"/>
        <w:sz w:val="22"/>
      </w:rPr>
      <w:tblPr/>
      <w:tcPr>
        <w:shd w:val="clear" w:color="DAE5F1" w:fill="DAE5F1"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themeColor="accent2" w:themeTint="97" w:themeShade="95"/>
        <w:sz w:val="22"/>
      </w:rPr>
      <w:tblPr/>
      <w:tcPr>
        <w:shd w:val="clear" w:color="F2DCDC" w:fill="F2DCDC"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themeColor="accent3" w:themeTint="fe" w:themeShade="95"/>
        <w:sz w:val="22"/>
      </w:rPr>
      <w:tblPr/>
      <w:tcPr>
        <w:shd w:val="clear" w:color="EAF1DC" w:fill="EAF1D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themeColor="accent4" w:themeTint="9a" w:themeShade="95"/>
        <w:sz w:val="22"/>
      </w:rPr>
      <w:tblPr/>
      <w:tcPr>
        <w:shd w:val="clear" w:color="E5DFEC" w:fill="E5DFEC"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themeColor="accent5" w:themeShade="95"/>
        <w:sz w:val="22"/>
      </w:rPr>
      <w:tblPr/>
      <w:tcPr>
        <w:shd w:val="clear" w:color="DAEEF3" w:fill="DAEEF3" w:themeFill="accent5" w:themeFillTint="34"/>
      </w:tcPr>
    </w:tblStylePr>
    <w:tblStylePr w:type="band2Horz">
      <w:rPr>
        <w:color w:themeColor="accent5" w:themeShade="95"/>
        <w:sz w:val="22"/>
      </w:rPr>
      <w:tblPr/>
    </w:tblStylePr>
  </w:style>
  <w:style w:type="table" w:customStyle="1" w:styleId="GridTable7Colorful-Accent6">
    <w:name w:val="Grid Table 7 Colorful - Accent 6"/>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themeColor="accent6" w:themeShade="95"/>
        <w:sz w:val="22"/>
      </w:rPr>
      <w:tblPr/>
      <w:tcPr>
        <w:shd w:val="clear" w:color="FDE9D8" w:fill="FDE9D8" w:themeFill="accent6" w:themeFillTint="34"/>
      </w:tcPr>
    </w:tblStylePr>
    <w:tblStylePr w:type="band2Horz">
      <w:rPr>
        <w:color w:themeColor="accent6" w:themeShade="95"/>
        <w:sz w:val="22"/>
      </w:rPr>
      <w:tblPr/>
    </w:tblStylePr>
  </w:style>
  <w:style w:type="table" w:customStyle="1" w:styleId="ListTable1Light">
    <w:name w:val="List Table 1 Light"/>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CellMar>
        <w:top w:w="0" w:type="dxa"/>
        <w:left w:w="0" w:type="dxa"/>
        <w:bottom w:w="0" w:type="dxa"/>
        <w:right w:w="0" w:type="dxa"/>
      </w:tblCellMar>
    </w:tblPr>
    <w:tblStylePr w:type="firstRow">
      <w:rPr>
        <w:b/>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2DFEE" w:fill="D2DFEE" w:themeFill="accent1" w:themeFillTint="40"/>
      </w:tcPr>
    </w:tblStylePr>
    <w:tblStylePr w:type="band1Horz">
      <w:rPr>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FD2D2" w:fill="EFD2D2" w:themeFill="accent2" w:themeFillTint="40"/>
      </w:tcPr>
    </w:tblStylePr>
    <w:tblStylePr w:type="band1Horz">
      <w:rPr>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5EED5" w:fill="E5EED5" w:themeFill="accent3" w:themeFillTint="40"/>
      </w:tcPr>
    </w:tblStylePr>
    <w:tblStylePr w:type="band1Horz">
      <w:rPr>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FD8E7" w:fill="DFD8E7" w:themeFill="accent4" w:themeFillTint="40"/>
      </w:tcPr>
    </w:tblStylePr>
    <w:tblStylePr w:type="band1Horz">
      <w:rPr>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1EAF0" w:fill="D1EAF0" w:themeFill="accent5" w:themeFillTint="40"/>
      </w:tcPr>
    </w:tblStylePr>
    <w:tblStylePr w:type="band1Horz">
      <w:rPr>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DE4D0" w:fill="FDE4D0" w:themeFill="accent6" w:themeFillTint="40"/>
      </w:tcPr>
    </w:tblStylePr>
    <w:tblStylePr w:type="band1Horz">
      <w:rPr>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sz w:val="22"/>
      </w:rPr>
      <w:tblPr/>
      <w:tcPr>
        <w:shd w:val="clear" w:color="4F81BD" w:fill="4F81BD"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F81BD" w:themeColor="accent1" w:sz="4" w:space="0"/>
          <w:right w:val="single" w:color="4F81BD" w:themeColor="accent1" w:sz="4" w:space="0"/>
        </w:tcBorders>
      </w:tcPr>
    </w:tblStylePr>
    <w:tblStylePr w:type="band1Horz">
      <w:rPr>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sz w:val="22"/>
      </w:rPr>
      <w:tblPr/>
      <w:tcPr>
        <w:shd w:val="clear" w:color="D99695" w:fill="D99695"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D99695" w:themeColor="accent2" w:sz="4" w:space="0"/>
          <w:right w:val="single" w:color="D99695" w:themeColor="accent2" w:sz="4" w:space="0"/>
        </w:tcBorders>
      </w:tcPr>
    </w:tblStylePr>
    <w:tblStylePr w:type="band1Horz">
      <w:rPr>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sz w:val="22"/>
      </w:rPr>
      <w:tblPr/>
      <w:tcPr>
        <w:shd w:val="clear" w:color="C3D69B" w:fill="C3D69B"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C3D69B" w:themeColor="accent3" w:sz="4" w:space="0"/>
          <w:right w:val="single" w:color="C3D69B" w:themeColor="accent3" w:sz="4" w:space="0"/>
        </w:tcBorders>
      </w:tcPr>
    </w:tblStylePr>
    <w:tblStylePr w:type="band1Horz">
      <w:rPr>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sz w:val="22"/>
      </w:rPr>
      <w:tblPr/>
      <w:tcPr>
        <w:shd w:val="clear" w:color="B2A1C6" w:fill="B2A1C6"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B2A1C6" w:themeColor="accent4" w:sz="4" w:space="0"/>
          <w:right w:val="single" w:color="B2A1C6" w:themeColor="accent4" w:sz="4" w:space="0"/>
        </w:tcBorders>
      </w:tcPr>
    </w:tblStylePr>
    <w:tblStylePr w:type="band1Horz">
      <w:rPr>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sz w:val="22"/>
      </w:rPr>
      <w:tblPr/>
      <w:tcPr>
        <w:shd w:val="clear" w:color="92CCDC" w:fill="92CCDC"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92CCDC" w:themeColor="accent5" w:sz="4" w:space="0"/>
          <w:right w:val="single" w:color="92CCDC" w:themeColor="accent5" w:sz="4" w:space="0"/>
        </w:tcBorders>
      </w:tcPr>
    </w:tblStylePr>
    <w:tblStylePr w:type="band1Horz">
      <w:rPr>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sz w:val="22"/>
      </w:rPr>
      <w:tblPr/>
      <w:tcPr>
        <w:shd w:val="clear" w:color="FAC090" w:fill="FAC090"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AC090" w:themeColor="accent6" w:sz="4" w:space="0"/>
          <w:right w:val="single" w:color="FAC090" w:themeColor="accent6" w:sz="4" w:space="0"/>
        </w:tcBorders>
      </w:tcPr>
    </w:tblStylePr>
    <w:tblStylePr w:type="band1Horz">
      <w:rPr>
        <w:sz w:val="22"/>
      </w:rPr>
      <w:tblPr/>
      <w:tcPr>
        <w:tcBorders>
          <w:top w:val="single" w:color="FAC090" w:themeColor="accent6" w:sz="4" w:space="0"/>
          <w:bottom w:val="single" w:color="FAC090" w:themeColor="accent6" w:sz="4" w:space="0"/>
        </w:tcBorders>
      </w:tcPr>
    </w:tblStylePr>
  </w:style>
  <w:style w:type="table" w:customStyle="1" w:styleId="ListTable4">
    <w:name w:val="List Table 4"/>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sz w:val="22"/>
      </w:rPr>
      <w:tblPr/>
      <w:tcPr>
        <w:shd w:val="clear" w:color="4F81BD" w:fill="4F81BD"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D2DFEE" w:fill="D2DFEE" w:themeFill="accent1" w:themeFillTint="40"/>
      </w:tcPr>
    </w:tblStylePr>
    <w:tblStylePr w:type="band1Horz">
      <w:rPr>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sz w:val="22"/>
      </w:rPr>
      <w:tblPr/>
      <w:tcPr>
        <w:shd w:val="clear" w:color="C0504D" w:fill="C0504D"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EFD2D2" w:fill="EFD2D2" w:themeFill="accent2" w:themeFillTint="40"/>
      </w:tcPr>
    </w:tblStylePr>
    <w:tblStylePr w:type="band1Horz">
      <w:rPr>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sz w:val="22"/>
      </w:rPr>
      <w:tblPr/>
      <w:tcPr>
        <w:shd w:val="clear" w:color="9BBB59" w:fill="9BBB59"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5EED5" w:fill="E5EED5" w:themeFill="accent3" w:themeFillTint="40"/>
      </w:tcPr>
    </w:tblStylePr>
    <w:tblStylePr w:type="band1Horz">
      <w:rPr>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sz w:val="22"/>
      </w:rPr>
      <w:tblPr/>
      <w:tcPr>
        <w:shd w:val="clear" w:color="8064A2" w:fill="8064A2"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DFD8E7" w:fill="DFD8E7" w:themeFill="accent4" w:themeFillTint="40"/>
      </w:tcPr>
    </w:tblStylePr>
    <w:tblStylePr w:type="band1Horz">
      <w:rPr>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sz w:val="22"/>
      </w:rPr>
      <w:tblPr/>
      <w:tcPr>
        <w:shd w:val="clear" w:color="4BACC6" w:fill="4BACC6"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1EAF0" w:fill="D1EAF0" w:themeFill="accent5" w:themeFillTint="40"/>
      </w:tcPr>
    </w:tblStylePr>
    <w:tblStylePr w:type="band1Horz">
      <w:rPr>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sz w:val="22"/>
      </w:rPr>
      <w:tblPr/>
      <w:tcPr>
        <w:shd w:val="clear" w:color="F79646" w:fill="F79646"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FDE4D0" w:fill="FDE4D0" w:themeFill="accent6" w:themeFillTint="40"/>
      </w:tcPr>
    </w:tblStylePr>
    <w:tblStylePr w:type="band1Horz">
      <w:rPr>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themeColor="light1"/>
        <w:sz w:val="22"/>
      </w:rPr>
      <w:tblPr/>
    </w:tblStylePr>
    <w:tblStylePr w:type="firstCol">
      <w:rPr>
        <w:b/>
        <w:color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themeColor="light1"/>
        <w:sz w:val="22"/>
      </w:rPr>
      <w:tblPr/>
    </w:tblStylePr>
    <w:tblStylePr w:type="firstCol">
      <w:rPr>
        <w:b/>
        <w:color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themeColor="light1"/>
        <w:sz w:val="22"/>
      </w:rPr>
      <w:tblPr/>
    </w:tblStylePr>
    <w:tblStylePr w:type="firstCol">
      <w:rPr>
        <w:b/>
        <w:color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themeColor="light1"/>
        <w:sz w:val="22"/>
      </w:rPr>
      <w:tblPr/>
    </w:tblStylePr>
    <w:tblStylePr w:type="firstCol">
      <w:rPr>
        <w:b/>
        <w:color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themeColor="light1"/>
        <w:sz w:val="22"/>
      </w:rPr>
      <w:tblPr/>
    </w:tblStylePr>
    <w:tblStylePr w:type="firstCol">
      <w:rPr>
        <w:b/>
        <w:color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themeColor="light1"/>
        <w:sz w:val="22"/>
      </w:rPr>
      <w:tblPr/>
    </w:tblStylePr>
    <w:tblStylePr w:type="firstCol">
      <w:rPr>
        <w:b/>
        <w:color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themeColor="text1"/>
      </w:rPr>
      <w:tblPr/>
      <w:tcPr>
        <w:tcBorders>
          <w:bottom w:val="single" w:color="7F7F7F" w:themeColor="text1" w:sz="4" w:space="0"/>
        </w:tcBorders>
      </w:tcPr>
    </w:tblStylePr>
    <w:tblStylePr w:type="lastRow">
      <w:rPr>
        <w:b/>
        <w:color w:themeColor="text1"/>
      </w:rPr>
      <w:tblPr/>
      <w:tcPr>
        <w:tcBorders>
          <w:top w:val="single" w:color="7F7F7F"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uiPriority w:val="99"/>
    <w:tblPr>
      <w:tblStyleRowBandSize w:val="1"/>
      <w:tblStyleColBandSize w:val="1"/>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themeColor="accent1" w:themeShade="95"/>
      </w:rPr>
      <w:tblPr/>
      <w:tcPr>
        <w:tcBorders>
          <w:bottom w:val="single" w:color="4F81BD" w:themeColor="accent1" w:sz="4" w:space="0"/>
        </w:tcBorders>
      </w:tcPr>
    </w:tblStylePr>
    <w:tblStylePr w:type="lastRow">
      <w:rPr>
        <w:b/>
        <w:color w:themeColor="accent1" w:themeShade="95"/>
      </w:rPr>
      <w:tblPr/>
      <w:tcPr>
        <w:tcBorders>
          <w:top w:val="single" w:color="4F81BD"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D2DFEE" w:fill="D2DFEE" w:themeFill="accent1" w:themeFillTint="40"/>
      </w:tcPr>
    </w:tblStylePr>
    <w:tblStylePr w:type="band1Horz">
      <w:rPr>
        <w:color w:themeColor="accent1" w:themeShade="95"/>
        <w:sz w:val="22"/>
      </w:rPr>
      <w:tblPr/>
      <w:tcPr>
        <w:shd w:val="clear" w:color="D2DFEE" w:fill="D2DFEE" w:themeFill="accent1" w:themeFillTint="40"/>
      </w:tcPr>
    </w:tblStylePr>
    <w:tblStylePr w:type="band2Horz">
      <w:rPr>
        <w:color w:themeColor="accent1" w:themeShade="95"/>
        <w:sz w:val="22"/>
      </w:rPr>
      <w:tblPr/>
    </w:tblStylePr>
  </w:style>
  <w:style w:type="table" w:customStyle="1" w:styleId="ListTable6Colorful-Accent2">
    <w:name w:val="List Table 6 Colorful - Accent 2"/>
    <w:uiPriority w:val="99"/>
    <w:tblPr>
      <w:tblStyleRowBandSize w:val="1"/>
      <w:tblStyleColBandSize w:val="1"/>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themeColor="accent2" w:themeTint="97" w:themeShade="95"/>
      </w:rPr>
      <w:tblPr/>
      <w:tcPr>
        <w:tcBorders>
          <w:bottom w:val="single" w:color="D99695" w:themeColor="accent2" w:sz="4" w:space="0"/>
        </w:tcBorders>
      </w:tcPr>
    </w:tblStylePr>
    <w:tblStylePr w:type="lastRow">
      <w:rPr>
        <w:b/>
        <w:color w:themeColor="accent2" w:themeTint="97" w:themeShade="95"/>
      </w:rPr>
      <w:tblPr/>
      <w:tcPr>
        <w:tcBorders>
          <w:top w:val="single" w:color="D99695"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EFD2D2" w:fill="EFD2D2" w:themeFill="accent2" w:themeFillTint="40"/>
      </w:tcPr>
    </w:tblStylePr>
    <w:tblStylePr w:type="band1Horz">
      <w:rPr>
        <w:color w:themeColor="accent2" w:themeTint="97" w:themeShade="95"/>
        <w:sz w:val="22"/>
      </w:rPr>
      <w:tblPr/>
      <w:tcPr>
        <w:shd w:val="clear" w:color="EFD2D2" w:fill="EFD2D2"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themeColor="accent3" w:themeTint="98" w:themeShade="95"/>
      </w:rPr>
      <w:tblPr/>
      <w:tcPr>
        <w:tcBorders>
          <w:bottom w:val="single" w:color="C3D69B" w:themeColor="accent3" w:sz="4" w:space="0"/>
        </w:tcBorders>
      </w:tcPr>
    </w:tblStylePr>
    <w:tblStylePr w:type="lastRow">
      <w:rPr>
        <w:b/>
        <w:color w:themeColor="accent3" w:themeTint="98" w:themeShade="95"/>
      </w:rPr>
      <w:tblPr/>
      <w:tcPr>
        <w:tcBorders>
          <w:top w:val="single" w:color="C3D69B"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5EED5" w:fill="E5EED5" w:themeFill="accent3" w:themeFillTint="40"/>
      </w:tcPr>
    </w:tblStylePr>
    <w:tblStylePr w:type="band1Horz">
      <w:rPr>
        <w:color w:themeColor="accent3" w:themeTint="98" w:themeShade="95"/>
        <w:sz w:val="22"/>
      </w:rPr>
      <w:tblPr/>
      <w:tcPr>
        <w:shd w:val="clear" w:color="E5EED5" w:fill="E5EED5"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themeColor="accent4" w:themeTint="9a" w:themeShade="95"/>
      </w:rPr>
      <w:tblPr/>
      <w:tcPr>
        <w:tcBorders>
          <w:bottom w:val="single" w:color="B2A1C6" w:themeColor="accent4" w:sz="4" w:space="0"/>
        </w:tcBorders>
      </w:tcPr>
    </w:tblStylePr>
    <w:tblStylePr w:type="lastRow">
      <w:rPr>
        <w:b/>
        <w:color w:themeColor="accent4" w:themeTint="9a" w:themeShade="95"/>
      </w:rPr>
      <w:tblPr/>
      <w:tcPr>
        <w:tcBorders>
          <w:top w:val="single" w:color="B2A1C6"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DFD8E7" w:fill="DFD8E7" w:themeFill="accent4" w:themeFillTint="40"/>
      </w:tcPr>
    </w:tblStylePr>
    <w:tblStylePr w:type="band1Horz">
      <w:rPr>
        <w:color w:themeColor="accent4" w:themeTint="9a" w:themeShade="95"/>
        <w:sz w:val="22"/>
      </w:rPr>
      <w:tblPr/>
      <w:tcPr>
        <w:shd w:val="clear" w:color="DFD8E7" w:fill="DFD8E7"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themeColor="accent5" w:themeTint="9a" w:themeShade="95"/>
      </w:rPr>
      <w:tblPr/>
      <w:tcPr>
        <w:tcBorders>
          <w:bottom w:val="single" w:color="92CCDC" w:themeColor="accent5" w:sz="4" w:space="0"/>
        </w:tcBorders>
      </w:tcPr>
    </w:tblStylePr>
    <w:tblStylePr w:type="lastRow">
      <w:rPr>
        <w:b/>
        <w:color w:themeColor="accent5" w:themeTint="9a" w:themeShade="95"/>
      </w:rPr>
      <w:tblPr/>
      <w:tcPr>
        <w:tcBorders>
          <w:top w:val="single" w:color="92CCDC"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1EAF0" w:fill="D1EAF0" w:themeFill="accent5" w:themeFillTint="40"/>
      </w:tcPr>
    </w:tblStylePr>
    <w:tblStylePr w:type="band1Horz">
      <w:rPr>
        <w:color w:themeColor="accent5" w:themeTint="9a" w:themeShade="95"/>
        <w:sz w:val="22"/>
      </w:rPr>
      <w:tblPr/>
      <w:tcPr>
        <w:shd w:val="clear" w:color="D1EAF0" w:fill="D1EAF0"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themeColor="accent6" w:themeTint="98" w:themeShade="95"/>
      </w:rPr>
      <w:tblPr/>
      <w:tcPr>
        <w:tcBorders>
          <w:bottom w:val="single" w:color="FAC090" w:themeColor="accent6" w:sz="4" w:space="0"/>
        </w:tcBorders>
      </w:tcPr>
    </w:tblStylePr>
    <w:tblStylePr w:type="lastRow">
      <w:rPr>
        <w:b/>
        <w:color w:themeColor="accent6" w:themeTint="98" w:themeShade="95"/>
      </w:rPr>
      <w:tblPr/>
      <w:tcPr>
        <w:tcBorders>
          <w:top w:val="single" w:color="FAC090"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FDE4D0" w:fill="FDE4D0" w:themeFill="accent6" w:themeFillTint="40"/>
      </w:tcPr>
    </w:tblStylePr>
    <w:tblStylePr w:type="band1Horz">
      <w:rPr>
        <w:color w:themeColor="accent6" w:themeTint="98" w:themeShade="95"/>
        <w:sz w:val="22"/>
      </w:rPr>
      <w:tblPr/>
      <w:tcPr>
        <w:shd w:val="clear" w:color="FDE4D0" w:fill="FDE4D0" w:themeFill="accent6" w:themeFillTint="40"/>
      </w:tcPr>
    </w:tblStylePr>
    <w:tblStylePr w:type="band2Horz">
      <w:rPr>
        <w:color w:themeColor="accent6" w:themeTint="98" w:themeShade="95"/>
        <w:sz w:val="22"/>
      </w:rPr>
      <w:tblPr/>
    </w:tblStylePr>
  </w:style>
  <w:style w:type="table" w:customStyle="1" w:styleId="ListTable7Colorful">
    <w:name w:val="List Table 7 Colorful"/>
    <w:uiPriority w:val="99"/>
    <w:tblPr>
      <w:tblStyleRowBandSize w:val="1"/>
      <w:tblStyleColBandSize w:val="1"/>
      <w:tblBorders>
        <w:right w:val="single" w:color="7F7F7F" w:themeColor="text1" w:themeTint="80" w:sz="4" w:space="0"/>
      </w:tblBorders>
      <w:tblCellMar>
        <w:top w:w="0" w:type="dxa"/>
        <w:left w:w="0" w:type="dxa"/>
        <w:bottom w:w="0" w:type="dxa"/>
        <w:right w:w="0" w:type="dxa"/>
      </w:tblCellMar>
    </w:tblPr>
    <w:tblStylePr w:type="firstRow">
      <w:rPr>
        <w:i/>
        <w:color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uiPriority w:val="99"/>
    <w:tblPr>
      <w:tblStyleRowBandSize w:val="1"/>
      <w:tblStyleColBandSize w:val="1"/>
      <w:tblBorders>
        <w:right w:val="single" w:color="4F81BD" w:themeColor="accent1" w:sz="4" w:space="0"/>
      </w:tblBorders>
      <w:tblCellMar>
        <w:top w:w="0" w:type="dxa"/>
        <w:left w:w="0" w:type="dxa"/>
        <w:bottom w:w="0" w:type="dxa"/>
        <w:right w:w="0" w:type="dxa"/>
      </w:tblCellMar>
    </w:tblPr>
    <w:tblStylePr w:type="firstRow">
      <w:rPr>
        <w:i/>
        <w:color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themeColor="accent1" w:themeShade="95"/>
        <w:sz w:val="22"/>
      </w:rPr>
      <w:tblPr/>
      <w:tcPr>
        <w:shd w:val="clear" w:color="D2DFEE" w:fill="D2DFEE" w:themeFill="accent1" w:themeFillTint="40"/>
      </w:tcPr>
    </w:tblStylePr>
    <w:tblStylePr w:type="band2Horz">
      <w:rPr>
        <w:color w:themeColor="accent1" w:themeShade="95"/>
        <w:sz w:val="22"/>
      </w:rPr>
      <w:tblPr/>
    </w:tblStylePr>
  </w:style>
  <w:style w:type="table" w:customStyle="1" w:styleId="ListTable7Colorful-Accent2">
    <w:name w:val="List Table 7 Colorful - Accent 2"/>
    <w:uiPriority w:val="99"/>
    <w:tblPr>
      <w:tblStyleRowBandSize w:val="1"/>
      <w:tblStyleColBandSize w:val="1"/>
      <w:tblBorders>
        <w:right w:val="single" w:color="D99695" w:themeColor="accent2" w:themeTint="97" w:sz="4" w:space="0"/>
      </w:tblBorders>
      <w:tblCellMar>
        <w:top w:w="0" w:type="dxa"/>
        <w:left w:w="0" w:type="dxa"/>
        <w:bottom w:w="0" w:type="dxa"/>
        <w:right w:w="0" w:type="dxa"/>
      </w:tblCellMar>
    </w:tblPr>
    <w:tblStylePr w:type="firstRow">
      <w:rPr>
        <w:i/>
        <w:color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themeColor="accent2" w:themeTint="97" w:themeShade="95"/>
        <w:sz w:val="22"/>
      </w:rPr>
      <w:tblPr/>
      <w:tcPr>
        <w:shd w:val="clear" w:color="EFD2D2" w:fill="EFD2D2"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Borders>
        <w:right w:val="single" w:color="C3D69B" w:themeColor="accent3" w:themeTint="98" w:sz="4" w:space="0"/>
      </w:tblBorders>
      <w:tblCellMar>
        <w:top w:w="0" w:type="dxa"/>
        <w:left w:w="0" w:type="dxa"/>
        <w:bottom w:w="0" w:type="dxa"/>
        <w:right w:w="0" w:type="dxa"/>
      </w:tblCellMar>
    </w:tblPr>
    <w:tblStylePr w:type="firstRow">
      <w:rPr>
        <w:i/>
        <w:color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themeColor="accent3" w:themeTint="98" w:themeShade="95"/>
        <w:sz w:val="22"/>
      </w:rPr>
      <w:tblPr/>
      <w:tcPr>
        <w:shd w:val="clear" w:color="E5EED5" w:fill="E5EED5"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Borders>
        <w:right w:val="single" w:color="B2A1C6" w:themeColor="accent4" w:themeTint="9a" w:sz="4" w:space="0"/>
      </w:tblBorders>
      <w:tblCellMar>
        <w:top w:w="0" w:type="dxa"/>
        <w:left w:w="0" w:type="dxa"/>
        <w:bottom w:w="0" w:type="dxa"/>
        <w:right w:w="0" w:type="dxa"/>
      </w:tblCellMar>
    </w:tblPr>
    <w:tblStylePr w:type="firstRow">
      <w:rPr>
        <w:i/>
        <w:color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themeColor="accent4" w:themeTint="9a" w:themeShade="95"/>
        <w:sz w:val="22"/>
      </w:rPr>
      <w:tblPr/>
      <w:tcPr>
        <w:shd w:val="clear" w:color="DFD8E7" w:fill="DFD8E7"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Borders>
        <w:right w:val="single" w:color="92CCDC" w:themeColor="accent5" w:themeTint="9a" w:sz="4" w:space="0"/>
      </w:tblBorders>
      <w:tblCellMar>
        <w:top w:w="0" w:type="dxa"/>
        <w:left w:w="0" w:type="dxa"/>
        <w:bottom w:w="0" w:type="dxa"/>
        <w:right w:w="0" w:type="dxa"/>
      </w:tblCellMar>
    </w:tblPr>
    <w:tblStylePr w:type="firstRow">
      <w:rPr>
        <w:i/>
        <w:color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themeColor="accent5" w:themeTint="9a" w:themeShade="95"/>
        <w:sz w:val="22"/>
      </w:rPr>
      <w:tblPr/>
      <w:tcPr>
        <w:shd w:val="clear" w:color="D1EAF0" w:fill="D1EAF0"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Borders>
        <w:right w:val="single" w:color="FAC090" w:themeColor="accent6" w:themeTint="98" w:sz="4" w:space="0"/>
      </w:tblBorders>
      <w:tblCellMar>
        <w:top w:w="0" w:type="dxa"/>
        <w:left w:w="0" w:type="dxa"/>
        <w:bottom w:w="0" w:type="dxa"/>
        <w:right w:w="0" w:type="dxa"/>
      </w:tblCellMar>
    </w:tblPr>
    <w:tblStylePr w:type="firstRow">
      <w:rPr>
        <w:i/>
        <w:color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themeColor="accent6" w:themeTint="98" w:themeShade="95"/>
        <w:sz w:val="22"/>
      </w:rPr>
      <w:tblPr/>
      <w:tcPr>
        <w:shd w:val="clear" w:color="FDE4D0" w:fill="FDE4D0" w:themeFill="accent6" w:themeFillTint="40"/>
      </w:tcPr>
    </w:tblStylePr>
    <w:tblStylePr w:type="band2Horz">
      <w:rPr>
        <w:color w:themeColor="accent6" w:themeTint="98" w:themeShade="95"/>
        <w:sz w:val="22"/>
      </w:rPr>
      <w:tblPr/>
    </w:tblStylePr>
  </w:style>
  <w:style w:type="table" w:customStyle="1" w:styleId="Lined-Accent">
    <w:name w:val="Lined - Accent"/>
    <w:uiPriority w:val="99"/>
    <w:rPr>
      <w:lang w:val="ru-RU" w:eastAsia="ru-RU" w:bidi="ar-SA"/>
      <w:sz w:val="20"/>
      <w:szCs w:val="20"/>
    </w:rPr>
    <w:tblPr>
      <w:tblStyleRowBandSize w:val="1"/>
      <w:tblStyleColBandSize w:val="1"/>
      <w:tblCellMar>
        <w:top w:w="0" w:type="dxa"/>
        <w:left w:w="0" w:type="dxa"/>
        <w:bottom w:w="0" w:type="dxa"/>
        <w:right w:w="0" w:type="dxa"/>
      </w:tblCellMar>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uiPriority w:val="99"/>
    <w:rPr>
      <w:lang w:val="ru-RU" w:eastAsia="ru-RU" w:bidi="ar-SA"/>
      <w:sz w:val="20"/>
      <w:szCs w:val="20"/>
    </w:rPr>
    <w:tblPr>
      <w:tblStyleRowBandSize w:val="1"/>
      <w:tblStyleColBandSize w:val="1"/>
      <w:tblCellMar>
        <w:top w:w="0" w:type="dxa"/>
        <w:left w:w="0" w:type="dxa"/>
        <w:bottom w:w="0" w:type="dxa"/>
        <w:right w:w="0" w:type="dxa"/>
      </w:tblCellMar>
    </w:tblPr>
    <w:tblStylePr w:type="firstRow">
      <w:rPr>
        <w:sz w:val="22"/>
      </w:rPr>
      <w:tblPr/>
      <w:tcPr>
        <w:shd w:val="clear" w:color="5D8AC2" w:fill="5D8AC2" w:themeFill="accent1" w:themeFillTint="ea"/>
      </w:tcPr>
    </w:tblStylePr>
    <w:tblStylePr w:type="lastRow">
      <w:rPr>
        <w:sz w:val="22"/>
      </w:rPr>
      <w:tblPr/>
      <w:tcPr>
        <w:shd w:val="clear" w:color="5D8AC2" w:fill="5D8AC2" w:themeFill="accent1" w:themeFillTint="ea"/>
      </w:tcPr>
    </w:tblStylePr>
    <w:tblStylePr w:type="firstCol">
      <w:rPr>
        <w:sz w:val="22"/>
      </w:rPr>
      <w:tblPr/>
      <w:tcPr>
        <w:shd w:val="clear" w:color="5D8AC2" w:fill="5D8AC2" w:themeFill="accent1" w:themeFillTint="ea"/>
      </w:tcPr>
    </w:tblStylePr>
    <w:tblStylePr w:type="lastCol">
      <w:rPr>
        <w:sz w:val="22"/>
      </w:rPr>
      <w:tblPr/>
      <w:tcPr>
        <w:shd w:val="clear" w:color="5D8AC2" w:fill="5D8AC2" w:themeFill="accent1" w:themeFillTint="ea"/>
      </w:tcPr>
    </w:tblStylePr>
    <w:tblStylePr w:type="band1Vert">
      <w:rPr>
        <w:sz w:val="22"/>
      </w:rPr>
      <w:tblPr/>
    </w:tblStylePr>
    <w:tblStylePr w:type="band2Vert">
      <w:rPr>
        <w:sz w:val="22"/>
      </w:rPr>
      <w:tblPr/>
      <w:tcPr>
        <w:shd w:val="clear" w:color="C7D7EA" w:fill="C7D7EA" w:themeFill="accent1" w:themeFillTint="50"/>
      </w:tcPr>
    </w:tblStylePr>
    <w:tblStylePr w:type="band1Horz">
      <w:rPr>
        <w:sz w:val="22"/>
      </w:rPr>
      <w:tblPr/>
    </w:tblStylePr>
    <w:tblStylePr w:type="band2Horz">
      <w:rPr>
        <w:sz w:val="22"/>
      </w:rPr>
      <w:tblPr/>
      <w:tcPr>
        <w:shd w:val="clear" w:color="C7D7EA" w:fill="C7D7EA" w:themeFill="accent1" w:themeFillTint="50"/>
      </w:tcPr>
    </w:tblStylePr>
  </w:style>
  <w:style w:type="table" w:customStyle="1" w:styleId="Lined-Accent2">
    <w:name w:val="Lined - Accent 2"/>
    <w:uiPriority w:val="99"/>
    <w:rPr>
      <w:lang w:val="ru-RU" w:eastAsia="ru-RU" w:bidi="ar-SA"/>
      <w:sz w:val="20"/>
      <w:szCs w:val="20"/>
    </w:rPr>
    <w:tblPr>
      <w:tblStyleRowBandSize w:val="1"/>
      <w:tblStyleColBandSize w:val="1"/>
      <w:tblCellMar>
        <w:top w:w="0" w:type="dxa"/>
        <w:left w:w="0" w:type="dxa"/>
        <w:bottom w:w="0" w:type="dxa"/>
        <w:right w:w="0" w:type="dxa"/>
      </w:tblCellMar>
    </w:tblPr>
    <w:tblStylePr w:type="firstRow">
      <w:rPr>
        <w:sz w:val="22"/>
      </w:rPr>
      <w:tblPr/>
      <w:tcPr>
        <w:shd w:val="clear" w:color="D99695" w:fill="D99695" w:themeFill="accent2" w:themeFillTint="97"/>
      </w:tcPr>
    </w:tblStylePr>
    <w:tblStylePr w:type="lastRow">
      <w:rPr>
        <w:sz w:val="22"/>
      </w:rPr>
      <w:tblPr/>
      <w:tcPr>
        <w:shd w:val="clear" w:color="D99695" w:fill="D99695" w:themeFill="accent2" w:themeFillTint="97"/>
      </w:tcPr>
    </w:tblStylePr>
    <w:tblStylePr w:type="firstCol">
      <w:rPr>
        <w:sz w:val="22"/>
      </w:rPr>
      <w:tblPr/>
      <w:tcPr>
        <w:shd w:val="clear" w:color="D99695" w:fill="D99695" w:themeFill="accent2" w:themeFillTint="97"/>
      </w:tcPr>
    </w:tblStylePr>
    <w:tblStylePr w:type="lastCol">
      <w:rPr>
        <w:sz w:val="22"/>
      </w:rPr>
      <w:tblPr/>
      <w:tcPr>
        <w:shd w:val="clear" w:color="D99695" w:fill="D99695" w:themeFill="accent2" w:themeFillTint="97"/>
      </w:tcPr>
    </w:tblStylePr>
    <w:tblStylePr w:type="band1Vert">
      <w:rPr>
        <w:sz w:val="22"/>
      </w:rPr>
      <w:tblPr/>
    </w:tblStylePr>
    <w:tblStylePr w:type="band2Vert">
      <w:rPr>
        <w:sz w:val="22"/>
      </w:rPr>
      <w:tblPr/>
      <w:tcPr>
        <w:shd w:val="clear" w:color="F2DCDC" w:fill="F2DCDC" w:themeFill="accent2" w:themeFillTint="32"/>
      </w:tcPr>
    </w:tblStylePr>
    <w:tblStylePr w:type="band1Horz">
      <w:rPr>
        <w:sz w:val="22"/>
      </w:rPr>
      <w:tblPr/>
    </w:tblStylePr>
    <w:tblStylePr w:type="band2Horz">
      <w:rPr>
        <w:sz w:val="22"/>
      </w:rPr>
      <w:tblPr/>
      <w:tcPr>
        <w:shd w:val="clear" w:color="F2DCDC" w:fill="F2DCDC" w:themeFill="accent2" w:themeFillTint="32"/>
      </w:tcPr>
    </w:tblStylePr>
  </w:style>
  <w:style w:type="table" w:customStyle="1" w:styleId="Lined-Accent3">
    <w:name w:val="Lined - Accent 3"/>
    <w:uiPriority w:val="99"/>
    <w:rPr>
      <w:lang w:val="ru-RU" w:eastAsia="ru-RU" w:bidi="ar-SA"/>
      <w:sz w:val="20"/>
      <w:szCs w:val="20"/>
    </w:rPr>
    <w:tblPr>
      <w:tblStyleRowBandSize w:val="1"/>
      <w:tblStyleColBandSize w:val="1"/>
      <w:tblCellMar>
        <w:top w:w="0" w:type="dxa"/>
        <w:left w:w="0" w:type="dxa"/>
        <w:bottom w:w="0" w:type="dxa"/>
        <w:right w:w="0" w:type="dxa"/>
      </w:tblCellMar>
    </w:tblPr>
    <w:tblStylePr w:type="firstRow">
      <w:rPr>
        <w:sz w:val="22"/>
      </w:rPr>
      <w:tblPr/>
      <w:tcPr>
        <w:shd w:val="clear" w:color="9ABB59" w:fill="9ABB59" w:themeFill="accent3" w:themeFillTint="fe"/>
      </w:tcPr>
    </w:tblStylePr>
    <w:tblStylePr w:type="lastRow">
      <w:rPr>
        <w:sz w:val="22"/>
      </w:rPr>
      <w:tblPr/>
      <w:tcPr>
        <w:shd w:val="clear" w:color="9ABB59" w:fill="9ABB59" w:themeFill="accent3" w:themeFillTint="fe"/>
      </w:tcPr>
    </w:tblStylePr>
    <w:tblStylePr w:type="firstCol">
      <w:rPr>
        <w:sz w:val="22"/>
      </w:rPr>
      <w:tblPr/>
      <w:tcPr>
        <w:shd w:val="clear" w:color="9ABB59" w:fill="9ABB59" w:themeFill="accent3" w:themeFillTint="fe"/>
      </w:tcPr>
    </w:tblStylePr>
    <w:tblStylePr w:type="lastCol">
      <w:rPr>
        <w:sz w:val="22"/>
      </w:rPr>
      <w:tblPr/>
      <w:tcPr>
        <w:shd w:val="clear" w:color="9ABB59" w:fill="9ABB59" w:themeFill="accent3" w:themeFillTint="fe"/>
      </w:tcPr>
    </w:tblStylePr>
    <w:tblStylePr w:type="band1Vert">
      <w:rPr>
        <w:sz w:val="22"/>
      </w:rPr>
      <w:tblPr/>
    </w:tblStylePr>
    <w:tblStylePr w:type="band2Vert">
      <w:rPr>
        <w:sz w:val="22"/>
      </w:rPr>
      <w:tblPr/>
      <w:tcPr>
        <w:shd w:val="clear" w:color="EAF1DC" w:fill="EAF1DC" w:themeFill="accent3" w:themeFillTint="34"/>
      </w:tcPr>
    </w:tblStylePr>
    <w:tblStylePr w:type="band1Horz">
      <w:rPr>
        <w:sz w:val="22"/>
      </w:rPr>
      <w:tblPr/>
    </w:tblStylePr>
    <w:tblStylePr w:type="band2Horz">
      <w:rPr>
        <w:sz w:val="22"/>
      </w:rPr>
      <w:tblPr/>
      <w:tcPr>
        <w:shd w:val="clear" w:color="EAF1DC" w:fill="EAF1DC" w:themeFill="accent3" w:themeFillTint="34"/>
      </w:tcPr>
    </w:tblStylePr>
  </w:style>
  <w:style w:type="table" w:customStyle="1" w:styleId="Lined-Accent4">
    <w:name w:val="Lined - Accent 4"/>
    <w:uiPriority w:val="99"/>
    <w:rPr>
      <w:lang w:val="ru-RU" w:eastAsia="ru-RU" w:bidi="ar-SA"/>
      <w:sz w:val="20"/>
      <w:szCs w:val="20"/>
    </w:rPr>
    <w:tblPr>
      <w:tblStyleRowBandSize w:val="1"/>
      <w:tblStyleColBandSize w:val="1"/>
      <w:tblCellMar>
        <w:top w:w="0" w:type="dxa"/>
        <w:left w:w="0" w:type="dxa"/>
        <w:bottom w:w="0" w:type="dxa"/>
        <w:right w:w="0" w:type="dxa"/>
      </w:tblCellMar>
    </w:tblPr>
    <w:tblStylePr w:type="firstRow">
      <w:rPr>
        <w:sz w:val="22"/>
      </w:rPr>
      <w:tblPr/>
      <w:tcPr>
        <w:shd w:val="clear" w:color="B2A1C6" w:fill="B2A1C6" w:themeFill="accent4" w:themeFillTint="9a"/>
      </w:tcPr>
    </w:tblStylePr>
    <w:tblStylePr w:type="lastRow">
      <w:rPr>
        <w:sz w:val="22"/>
      </w:rPr>
      <w:tblPr/>
      <w:tcPr>
        <w:shd w:val="clear" w:color="B2A1C6" w:fill="B2A1C6" w:themeFill="accent4" w:themeFillTint="9a"/>
      </w:tcPr>
    </w:tblStylePr>
    <w:tblStylePr w:type="firstCol">
      <w:rPr>
        <w:sz w:val="22"/>
      </w:rPr>
      <w:tblPr/>
      <w:tcPr>
        <w:shd w:val="clear" w:color="B2A1C6" w:fill="B2A1C6" w:themeFill="accent4" w:themeFillTint="9a"/>
      </w:tcPr>
    </w:tblStylePr>
    <w:tblStylePr w:type="lastCol">
      <w:rPr>
        <w:sz w:val="22"/>
      </w:rPr>
      <w:tblPr/>
      <w:tcPr>
        <w:shd w:val="clear" w:color="B2A1C6" w:fill="B2A1C6" w:themeFill="accent4" w:themeFillTint="9a"/>
      </w:tcPr>
    </w:tblStylePr>
    <w:tblStylePr w:type="band1Vert">
      <w:rPr>
        <w:sz w:val="22"/>
      </w:rPr>
      <w:tblPr/>
    </w:tblStylePr>
    <w:tblStylePr w:type="band2Vert">
      <w:rPr>
        <w:sz w:val="22"/>
      </w:rPr>
      <w:tblPr/>
      <w:tcPr>
        <w:shd w:val="clear" w:color="E5DFEC" w:fill="E5DFEC" w:themeFill="accent4" w:themeFillTint="34"/>
      </w:tcPr>
    </w:tblStylePr>
    <w:tblStylePr w:type="band1Horz">
      <w:rPr>
        <w:sz w:val="22"/>
      </w:rPr>
      <w:tblPr/>
    </w:tblStylePr>
    <w:tblStylePr w:type="band2Horz">
      <w:rPr>
        <w:sz w:val="22"/>
      </w:rPr>
      <w:tblPr/>
      <w:tcPr>
        <w:shd w:val="clear" w:color="E5DFEC" w:fill="E5DFEC" w:themeFill="accent4" w:themeFillTint="34"/>
      </w:tcPr>
    </w:tblStylePr>
  </w:style>
  <w:style w:type="table" w:customStyle="1" w:styleId="Lined-Accent5">
    <w:name w:val="Lined - Accent 5"/>
    <w:uiPriority w:val="99"/>
    <w:rPr>
      <w:lang w:val="ru-RU" w:eastAsia="ru-RU" w:bidi="ar-SA"/>
      <w:sz w:val="20"/>
      <w:szCs w:val="20"/>
    </w:rPr>
    <w:tblPr>
      <w:tblStyleRowBandSize w:val="1"/>
      <w:tblStyleColBandSize w:val="1"/>
      <w:tblCellMar>
        <w:top w:w="0" w:type="dxa"/>
        <w:left w:w="0" w:type="dxa"/>
        <w:bottom w:w="0" w:type="dxa"/>
        <w:right w:w="0" w:type="dxa"/>
      </w:tblCellMar>
    </w:tblPr>
    <w:tblStylePr w:type="firstRow">
      <w:rPr>
        <w:sz w:val="22"/>
      </w:rPr>
      <w:tblPr/>
      <w:tcPr>
        <w:shd w:val="clear" w:color="4BACC6" w:fill="4BACC6" w:themeFill="accent5"/>
      </w:tcPr>
    </w:tblStylePr>
    <w:tblStylePr w:type="lastRow">
      <w:rPr>
        <w:sz w:val="22"/>
      </w:rPr>
      <w:tblPr/>
      <w:tcPr>
        <w:shd w:val="clear" w:color="4BACC6" w:fill="4BACC6" w:themeFill="accent5"/>
      </w:tcPr>
    </w:tblStylePr>
    <w:tblStylePr w:type="firstCol">
      <w:rPr>
        <w:sz w:val="22"/>
      </w:rPr>
      <w:tblPr/>
      <w:tcPr>
        <w:shd w:val="clear" w:color="4BACC6" w:fill="4BACC6" w:themeFill="accent5"/>
      </w:tcPr>
    </w:tblStylePr>
    <w:tblStylePr w:type="lastCol">
      <w:rPr>
        <w:sz w:val="22"/>
      </w:rPr>
      <w:tblPr/>
      <w:tcPr>
        <w:shd w:val="clear" w:color="4BACC6" w:fill="4BACC6" w:themeFill="accent5"/>
      </w:tcPr>
    </w:tblStylePr>
    <w:tblStylePr w:type="band1Vert">
      <w:rPr>
        <w:sz w:val="22"/>
      </w:rPr>
      <w:tblPr/>
    </w:tblStylePr>
    <w:tblStylePr w:type="band2Vert">
      <w:rPr>
        <w:sz w:val="22"/>
      </w:rPr>
      <w:tblPr/>
      <w:tcPr>
        <w:shd w:val="clear" w:color="DAEEF3" w:fill="DAEEF3" w:themeFill="accent5" w:themeFillTint="34"/>
      </w:tcPr>
    </w:tblStylePr>
    <w:tblStylePr w:type="band1Horz">
      <w:rPr>
        <w:sz w:val="22"/>
      </w:rPr>
      <w:tblPr/>
    </w:tblStylePr>
    <w:tblStylePr w:type="band2Horz">
      <w:rPr>
        <w:sz w:val="22"/>
      </w:rPr>
      <w:tblPr/>
      <w:tcPr>
        <w:shd w:val="clear" w:color="DAEEF3" w:fill="DAEEF3" w:themeFill="accent5" w:themeFillTint="34"/>
      </w:tcPr>
    </w:tblStylePr>
  </w:style>
  <w:style w:type="table" w:customStyle="1" w:styleId="Lined-Accent6">
    <w:name w:val="Lined - Accent 6"/>
    <w:uiPriority w:val="99"/>
    <w:rPr>
      <w:lang w:val="ru-RU" w:eastAsia="ru-RU" w:bidi="ar-SA"/>
      <w:sz w:val="20"/>
      <w:szCs w:val="20"/>
    </w:rPr>
    <w:tblPr>
      <w:tblStyleRowBandSize w:val="1"/>
      <w:tblStyleColBandSize w:val="1"/>
      <w:tblCellMar>
        <w:top w:w="0" w:type="dxa"/>
        <w:left w:w="0" w:type="dxa"/>
        <w:bottom w:w="0" w:type="dxa"/>
        <w:right w:w="0" w:type="dxa"/>
      </w:tblCellMar>
    </w:tblPr>
    <w:tblStylePr w:type="firstRow">
      <w:rPr>
        <w:sz w:val="22"/>
      </w:rPr>
      <w:tblPr/>
      <w:tcPr>
        <w:shd w:val="clear" w:color="F79646" w:fill="F79646" w:themeFill="accent6"/>
      </w:tcPr>
    </w:tblStylePr>
    <w:tblStylePr w:type="lastRow">
      <w:rPr>
        <w:sz w:val="22"/>
      </w:rPr>
      <w:tblPr/>
      <w:tcPr>
        <w:shd w:val="clear" w:color="F79646" w:fill="F79646" w:themeFill="accent6"/>
      </w:tcPr>
    </w:tblStylePr>
    <w:tblStylePr w:type="firstCol">
      <w:rPr>
        <w:sz w:val="22"/>
      </w:rPr>
      <w:tblPr/>
      <w:tcPr>
        <w:shd w:val="clear" w:color="F79646" w:fill="F79646" w:themeFill="accent6"/>
      </w:tcPr>
    </w:tblStylePr>
    <w:tblStylePr w:type="lastCol">
      <w:rPr>
        <w:sz w:val="22"/>
      </w:rPr>
      <w:tblPr/>
      <w:tcPr>
        <w:shd w:val="clear" w:color="F79646" w:fill="F79646" w:themeFill="accent6"/>
      </w:tcPr>
    </w:tblStylePr>
    <w:tblStylePr w:type="band1Vert">
      <w:rPr>
        <w:sz w:val="22"/>
      </w:rPr>
      <w:tblPr/>
    </w:tblStylePr>
    <w:tblStylePr w:type="band2Vert">
      <w:rPr>
        <w:sz w:val="22"/>
      </w:rPr>
      <w:tblPr/>
      <w:tcPr>
        <w:shd w:val="clear" w:color="FDE9D8" w:fill="FDE9D8" w:themeFill="accent6" w:themeFillTint="34"/>
      </w:tcPr>
    </w:tblStylePr>
    <w:tblStylePr w:type="band1Horz">
      <w:rPr>
        <w:sz w:val="22"/>
      </w:rPr>
      <w:tblPr/>
    </w:tblStylePr>
    <w:tblStylePr w:type="band2Horz">
      <w:rPr>
        <w:sz w:val="22"/>
      </w:rPr>
      <w:tblPr/>
      <w:tcPr>
        <w:shd w:val="clear" w:color="FDE9D8" w:fill="FDE9D8" w:themeFill="accent6" w:themeFillTint="34"/>
      </w:tcPr>
    </w:tblStylePr>
  </w:style>
  <w:style w:type="table" w:customStyle="1" w:styleId="BorderedLined-Accent">
    <w:name w:val="Bordered &amp; Lined - Accent"/>
    <w:uiPriority w:val="99"/>
    <w:rPr>
      <w:lang w:val="ru-RU" w:eastAsia="ru-RU" w:bidi="ar-S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uiPriority w:val="99"/>
    <w:rPr>
      <w:lang w:val="ru-RU" w:eastAsia="ru-RU" w:bidi="ar-SA"/>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sz w:val="22"/>
      </w:rPr>
      <w:tblPr/>
      <w:tcPr>
        <w:shd w:val="clear" w:color="5D8AC2" w:fill="5D8AC2" w:themeFill="accent1" w:themeFillTint="ea"/>
      </w:tcPr>
    </w:tblStylePr>
    <w:tblStylePr w:type="lastRow">
      <w:rPr>
        <w:sz w:val="22"/>
      </w:rPr>
      <w:tblPr/>
      <w:tcPr>
        <w:shd w:val="clear" w:color="5D8AC2" w:fill="5D8AC2" w:themeFill="accent1" w:themeFillTint="ea"/>
      </w:tcPr>
    </w:tblStylePr>
    <w:tblStylePr w:type="firstCol">
      <w:rPr>
        <w:sz w:val="22"/>
      </w:rPr>
      <w:tblPr/>
      <w:tcPr>
        <w:shd w:val="clear" w:color="5D8AC2" w:fill="5D8AC2" w:themeFill="accent1" w:themeFillTint="ea"/>
      </w:tcPr>
    </w:tblStylePr>
    <w:tblStylePr w:type="lastCol">
      <w:rPr>
        <w:sz w:val="22"/>
      </w:rPr>
      <w:tblPr/>
      <w:tcPr>
        <w:shd w:val="clear" w:color="5D8AC2" w:fill="5D8AC2" w:themeFill="accent1" w:themeFillTint="ea"/>
      </w:tcPr>
    </w:tblStylePr>
    <w:tblStylePr w:type="band1Vert">
      <w:rPr>
        <w:sz w:val="22"/>
      </w:rPr>
      <w:tblPr/>
    </w:tblStylePr>
    <w:tblStylePr w:type="band2Vert">
      <w:rPr>
        <w:sz w:val="22"/>
      </w:rPr>
      <w:tblPr/>
      <w:tcPr>
        <w:shd w:val="clear" w:color="C7D7EA" w:fill="C7D7EA" w:themeFill="accent1" w:themeFillTint="50"/>
      </w:tcPr>
    </w:tblStylePr>
    <w:tblStylePr w:type="band1Horz">
      <w:rPr>
        <w:sz w:val="22"/>
      </w:rPr>
      <w:tblPr/>
    </w:tblStylePr>
    <w:tblStylePr w:type="band2Horz">
      <w:rPr>
        <w:sz w:val="22"/>
      </w:rPr>
      <w:tblPr/>
      <w:tcPr>
        <w:shd w:val="clear" w:color="C7D7EA" w:fill="C7D7EA" w:themeFill="accent1" w:themeFillTint="50"/>
      </w:tcPr>
    </w:tblStylePr>
  </w:style>
  <w:style w:type="table" w:customStyle="1" w:styleId="BorderedLined-Accent2">
    <w:name w:val="Bordered &amp; Lined - Accent 2"/>
    <w:uiPriority w:val="99"/>
    <w:rPr>
      <w:lang w:val="ru-RU" w:eastAsia="ru-RU" w:bidi="ar-SA"/>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sz w:val="22"/>
      </w:rPr>
      <w:tblPr/>
      <w:tcPr>
        <w:shd w:val="clear" w:color="D99695" w:fill="D99695" w:themeFill="accent2" w:themeFillTint="97"/>
      </w:tcPr>
    </w:tblStylePr>
    <w:tblStylePr w:type="lastRow">
      <w:rPr>
        <w:sz w:val="22"/>
      </w:rPr>
      <w:tblPr/>
      <w:tcPr>
        <w:shd w:val="clear" w:color="D99695" w:fill="D99695" w:themeFill="accent2" w:themeFillTint="97"/>
      </w:tcPr>
    </w:tblStylePr>
    <w:tblStylePr w:type="firstCol">
      <w:rPr>
        <w:sz w:val="22"/>
      </w:rPr>
      <w:tblPr/>
      <w:tcPr>
        <w:shd w:val="clear" w:color="D99695" w:fill="D99695" w:themeFill="accent2" w:themeFillTint="97"/>
      </w:tcPr>
    </w:tblStylePr>
    <w:tblStylePr w:type="lastCol">
      <w:rPr>
        <w:sz w:val="22"/>
      </w:rPr>
      <w:tblPr/>
      <w:tcPr>
        <w:shd w:val="clear" w:color="D99695" w:fill="D99695" w:themeFill="accent2" w:themeFillTint="97"/>
      </w:tcPr>
    </w:tblStylePr>
    <w:tblStylePr w:type="band1Vert">
      <w:rPr>
        <w:sz w:val="22"/>
      </w:rPr>
      <w:tblPr/>
    </w:tblStylePr>
    <w:tblStylePr w:type="band2Vert">
      <w:rPr>
        <w:sz w:val="22"/>
      </w:rPr>
      <w:tblPr/>
      <w:tcPr>
        <w:shd w:val="clear" w:color="F2DCDC" w:fill="F2DCDC" w:themeFill="accent2" w:themeFillTint="32"/>
      </w:tcPr>
    </w:tblStylePr>
    <w:tblStylePr w:type="band1Horz">
      <w:rPr>
        <w:sz w:val="22"/>
      </w:rPr>
      <w:tblPr/>
    </w:tblStylePr>
    <w:tblStylePr w:type="band2Horz">
      <w:rPr>
        <w:sz w:val="22"/>
      </w:rPr>
      <w:tblPr/>
      <w:tcPr>
        <w:shd w:val="clear" w:color="F2DCDC" w:fill="F2DCDC" w:themeFill="accent2" w:themeFillTint="32"/>
      </w:tcPr>
    </w:tblStylePr>
  </w:style>
  <w:style w:type="table" w:customStyle="1" w:styleId="BorderedLined-Accent3">
    <w:name w:val="Bordered &amp; Lined - Accent 3"/>
    <w:uiPriority w:val="99"/>
    <w:rPr>
      <w:lang w:val="ru-RU" w:eastAsia="ru-RU" w:bidi="ar-SA"/>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sz w:val="22"/>
      </w:rPr>
      <w:tblPr/>
      <w:tcPr>
        <w:shd w:val="clear" w:color="9ABB59" w:fill="9ABB59" w:themeFill="accent3" w:themeFillTint="fe"/>
      </w:tcPr>
    </w:tblStylePr>
    <w:tblStylePr w:type="lastRow">
      <w:rPr>
        <w:sz w:val="22"/>
      </w:rPr>
      <w:tblPr/>
      <w:tcPr>
        <w:shd w:val="clear" w:color="9ABB59" w:fill="9ABB59" w:themeFill="accent3" w:themeFillTint="fe"/>
      </w:tcPr>
    </w:tblStylePr>
    <w:tblStylePr w:type="firstCol">
      <w:rPr>
        <w:sz w:val="22"/>
      </w:rPr>
      <w:tblPr/>
      <w:tcPr>
        <w:shd w:val="clear" w:color="9ABB59" w:fill="9ABB59" w:themeFill="accent3" w:themeFillTint="fe"/>
      </w:tcPr>
    </w:tblStylePr>
    <w:tblStylePr w:type="lastCol">
      <w:rPr>
        <w:sz w:val="22"/>
      </w:rPr>
      <w:tblPr/>
      <w:tcPr>
        <w:shd w:val="clear" w:color="9ABB59" w:fill="9ABB59" w:themeFill="accent3" w:themeFillTint="fe"/>
      </w:tcPr>
    </w:tblStylePr>
    <w:tblStylePr w:type="band1Vert">
      <w:rPr>
        <w:sz w:val="22"/>
      </w:rPr>
      <w:tblPr/>
    </w:tblStylePr>
    <w:tblStylePr w:type="band2Vert">
      <w:rPr>
        <w:sz w:val="22"/>
      </w:rPr>
      <w:tblPr/>
      <w:tcPr>
        <w:shd w:val="clear" w:color="EAF1DC" w:fill="EAF1DC" w:themeFill="accent3" w:themeFillTint="34"/>
      </w:tcPr>
    </w:tblStylePr>
    <w:tblStylePr w:type="band1Horz">
      <w:rPr>
        <w:sz w:val="22"/>
      </w:rPr>
      <w:tblPr/>
    </w:tblStylePr>
    <w:tblStylePr w:type="band2Horz">
      <w:rPr>
        <w:sz w:val="22"/>
      </w:rPr>
      <w:tblPr/>
      <w:tcPr>
        <w:shd w:val="clear" w:color="EAF1DC" w:fill="EAF1DC" w:themeFill="accent3" w:themeFillTint="34"/>
      </w:tcPr>
    </w:tblStylePr>
  </w:style>
  <w:style w:type="table" w:customStyle="1" w:styleId="BorderedLined-Accent4">
    <w:name w:val="Bordered &amp; Lined - Accent 4"/>
    <w:uiPriority w:val="99"/>
    <w:rPr>
      <w:lang w:val="ru-RU" w:eastAsia="ru-RU" w:bidi="ar-SA"/>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sz w:val="22"/>
      </w:rPr>
      <w:tblPr/>
      <w:tcPr>
        <w:shd w:val="clear" w:color="B2A1C6" w:fill="B2A1C6" w:themeFill="accent4" w:themeFillTint="9a"/>
      </w:tcPr>
    </w:tblStylePr>
    <w:tblStylePr w:type="lastRow">
      <w:rPr>
        <w:sz w:val="22"/>
      </w:rPr>
      <w:tblPr/>
      <w:tcPr>
        <w:shd w:val="clear" w:color="B2A1C6" w:fill="B2A1C6" w:themeFill="accent4" w:themeFillTint="9a"/>
      </w:tcPr>
    </w:tblStylePr>
    <w:tblStylePr w:type="firstCol">
      <w:rPr>
        <w:sz w:val="22"/>
      </w:rPr>
      <w:tblPr/>
      <w:tcPr>
        <w:shd w:val="clear" w:color="B2A1C6" w:fill="B2A1C6" w:themeFill="accent4" w:themeFillTint="9a"/>
      </w:tcPr>
    </w:tblStylePr>
    <w:tblStylePr w:type="lastCol">
      <w:rPr>
        <w:sz w:val="22"/>
      </w:rPr>
      <w:tblPr/>
      <w:tcPr>
        <w:shd w:val="clear" w:color="B2A1C6" w:fill="B2A1C6" w:themeFill="accent4" w:themeFillTint="9a"/>
      </w:tcPr>
    </w:tblStylePr>
    <w:tblStylePr w:type="band1Vert">
      <w:rPr>
        <w:sz w:val="22"/>
      </w:rPr>
      <w:tblPr/>
    </w:tblStylePr>
    <w:tblStylePr w:type="band2Vert">
      <w:rPr>
        <w:sz w:val="22"/>
      </w:rPr>
      <w:tblPr/>
      <w:tcPr>
        <w:shd w:val="clear" w:color="E5DFEC" w:fill="E5DFEC" w:themeFill="accent4" w:themeFillTint="34"/>
      </w:tcPr>
    </w:tblStylePr>
    <w:tblStylePr w:type="band1Horz">
      <w:rPr>
        <w:sz w:val="22"/>
      </w:rPr>
      <w:tblPr/>
    </w:tblStylePr>
    <w:tblStylePr w:type="band2Horz">
      <w:rPr>
        <w:sz w:val="22"/>
      </w:rPr>
      <w:tblPr/>
      <w:tcPr>
        <w:shd w:val="clear" w:color="E5DFEC" w:fill="E5DFEC" w:themeFill="accent4" w:themeFillTint="34"/>
      </w:tcPr>
    </w:tblStylePr>
  </w:style>
  <w:style w:type="table" w:customStyle="1" w:styleId="BorderedLined-Accent5">
    <w:name w:val="Bordered &amp; Lined - Accent 5"/>
    <w:uiPriority w:val="99"/>
    <w:rPr>
      <w:lang w:val="ru-RU" w:eastAsia="ru-RU" w:bidi="ar-SA"/>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sz w:val="22"/>
      </w:rPr>
      <w:tblPr/>
      <w:tcPr>
        <w:shd w:val="clear" w:color="4BACC6" w:fill="4BACC6" w:themeFill="accent5"/>
      </w:tcPr>
    </w:tblStylePr>
    <w:tblStylePr w:type="lastRow">
      <w:rPr>
        <w:sz w:val="22"/>
      </w:rPr>
      <w:tblPr/>
      <w:tcPr>
        <w:shd w:val="clear" w:color="4BACC6" w:fill="4BACC6" w:themeFill="accent5"/>
      </w:tcPr>
    </w:tblStylePr>
    <w:tblStylePr w:type="firstCol">
      <w:rPr>
        <w:sz w:val="22"/>
      </w:rPr>
      <w:tblPr/>
      <w:tcPr>
        <w:shd w:val="clear" w:color="4BACC6" w:fill="4BACC6" w:themeFill="accent5"/>
      </w:tcPr>
    </w:tblStylePr>
    <w:tblStylePr w:type="lastCol">
      <w:rPr>
        <w:sz w:val="22"/>
      </w:rPr>
      <w:tblPr/>
      <w:tcPr>
        <w:shd w:val="clear" w:color="4BACC6" w:fill="4BACC6" w:themeFill="accent5"/>
      </w:tcPr>
    </w:tblStylePr>
    <w:tblStylePr w:type="band1Vert">
      <w:rPr>
        <w:sz w:val="22"/>
      </w:rPr>
      <w:tblPr/>
    </w:tblStylePr>
    <w:tblStylePr w:type="band2Vert">
      <w:rPr>
        <w:sz w:val="22"/>
      </w:rPr>
      <w:tblPr/>
      <w:tcPr>
        <w:shd w:val="clear" w:color="DAEEF3" w:fill="DAEEF3" w:themeFill="accent5" w:themeFillTint="34"/>
      </w:tcPr>
    </w:tblStylePr>
    <w:tblStylePr w:type="band1Horz">
      <w:rPr>
        <w:sz w:val="22"/>
      </w:rPr>
      <w:tblPr/>
    </w:tblStylePr>
    <w:tblStylePr w:type="band2Horz">
      <w:rPr>
        <w:sz w:val="22"/>
      </w:rPr>
      <w:tblPr/>
      <w:tcPr>
        <w:shd w:val="clear" w:color="DAEEF3" w:fill="DAEEF3" w:themeFill="accent5" w:themeFillTint="34"/>
      </w:tcPr>
    </w:tblStylePr>
  </w:style>
  <w:style w:type="table" w:customStyle="1" w:styleId="BorderedLined-Accent6">
    <w:name w:val="Bordered &amp; Lined - Accent 6"/>
    <w:uiPriority w:val="99"/>
    <w:rPr>
      <w:lang w:val="ru-RU" w:eastAsia="ru-RU" w:bidi="ar-SA"/>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sz w:val="22"/>
      </w:rPr>
      <w:tblPr/>
      <w:tcPr>
        <w:shd w:val="clear" w:color="F79646" w:fill="F79646" w:themeFill="accent6"/>
      </w:tcPr>
    </w:tblStylePr>
    <w:tblStylePr w:type="lastRow">
      <w:rPr>
        <w:sz w:val="22"/>
      </w:rPr>
      <w:tblPr/>
      <w:tcPr>
        <w:shd w:val="clear" w:color="F79646" w:fill="F79646" w:themeFill="accent6"/>
      </w:tcPr>
    </w:tblStylePr>
    <w:tblStylePr w:type="firstCol">
      <w:rPr>
        <w:sz w:val="22"/>
      </w:rPr>
      <w:tblPr/>
      <w:tcPr>
        <w:shd w:val="clear" w:color="F79646" w:fill="F79646" w:themeFill="accent6"/>
      </w:tcPr>
    </w:tblStylePr>
    <w:tblStylePr w:type="lastCol">
      <w:rPr>
        <w:sz w:val="22"/>
      </w:rPr>
      <w:tblPr/>
      <w:tcPr>
        <w:shd w:val="clear" w:color="F79646" w:fill="F79646" w:themeFill="accent6"/>
      </w:tcPr>
    </w:tblStylePr>
    <w:tblStylePr w:type="band1Vert">
      <w:rPr>
        <w:sz w:val="22"/>
      </w:rPr>
      <w:tblPr/>
    </w:tblStylePr>
    <w:tblStylePr w:type="band2Vert">
      <w:rPr>
        <w:sz w:val="22"/>
      </w:rPr>
      <w:tblPr/>
      <w:tcPr>
        <w:shd w:val="clear" w:color="FDE9D8" w:fill="FDE9D8" w:themeFill="accent6" w:themeFillTint="34"/>
      </w:tcPr>
    </w:tblStylePr>
    <w:tblStylePr w:type="band1Horz">
      <w:rPr>
        <w:sz w:val="22"/>
      </w:rPr>
      <w:tblPr/>
    </w:tblStylePr>
    <w:tblStylePr w:type="band2Horz">
      <w:rPr>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sz w:val="22"/>
      </w:rPr>
      <w:tblPr/>
      <w:tcPr>
        <w:tcBorders>
          <w:bottom w:val="single" w:color="7F7F7F" w:themeColor="text1" w:sz="12" w:space="0"/>
        </w:tcBorders>
      </w:tcPr>
    </w:tblStylePr>
    <w:tblStylePr w:type="lastRow">
      <w:rPr>
        <w:sz w:val="22"/>
      </w:rPr>
      <w:tblPr/>
      <w:tcPr>
        <w:tcBorders>
          <w:top w:val="single" w:color="7F7F7F" w:themeColor="text1" w:sz="12" w:space="0"/>
        </w:tcBorders>
      </w:tcPr>
    </w:tblStylePr>
    <w:tblStylePr w:type="firstCol">
      <w:rPr>
        <w:sz w:val="22"/>
      </w:rPr>
      <w:tblPr/>
    </w:tblStylePr>
    <w:tblStylePr w:type="lastCol">
      <w:rPr>
        <w:sz w:val="22"/>
      </w:rPr>
      <w:tblPr/>
      <w:tcPr>
        <w:tcBorders>
          <w:left w:val="single" w:color="7F7F7F" w:themeColor="text1" w:sz="12" w:space="0"/>
        </w:tcBorders>
      </w:tcPr>
    </w:tblStylePr>
    <w:tblStylePr w:type="band1Horz">
      <w:rPr>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sz w:val="22"/>
      </w:rPr>
      <w:tblPr/>
      <w:tcPr>
        <w:tcBorders>
          <w:bottom w:val="single" w:color="4F81BD" w:themeColor="accent1" w:sz="12" w:space="0"/>
        </w:tcBorders>
      </w:tcPr>
    </w:tblStylePr>
    <w:tblStylePr w:type="lastRow">
      <w:rPr>
        <w:sz w:val="22"/>
      </w:rPr>
      <w:tblPr/>
      <w:tcPr>
        <w:tcBorders>
          <w:top w:val="single" w:color="4F81BD" w:themeColor="accent1" w:sz="12" w:space="0"/>
        </w:tcBorders>
      </w:tcPr>
    </w:tblStylePr>
    <w:tblStylePr w:type="firstCol">
      <w:rPr>
        <w:sz w:val="22"/>
      </w:rPr>
      <w:tblPr/>
    </w:tblStylePr>
    <w:tblStylePr w:type="lastCol">
      <w:rPr>
        <w:sz w:val="22"/>
      </w:rPr>
      <w:tblPr/>
      <w:tcPr>
        <w:tcBorders>
          <w:left w:val="single" w:color="4F81BD" w:themeColor="accent1" w:sz="12" w:space="0"/>
        </w:tcBorders>
      </w:tcPr>
    </w:tblStylePr>
    <w:tblStylePr w:type="band1Horz">
      <w:rPr>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sz w:val="22"/>
      </w:rPr>
      <w:tblPr/>
      <w:tcPr>
        <w:tcBorders>
          <w:bottom w:val="single" w:color="D99695" w:themeColor="accent2" w:sz="12" w:space="0"/>
        </w:tcBorders>
      </w:tcPr>
    </w:tblStylePr>
    <w:tblStylePr w:type="lastRow">
      <w:rPr>
        <w:sz w:val="22"/>
      </w:rPr>
      <w:tblPr/>
      <w:tcPr>
        <w:tcBorders>
          <w:top w:val="single" w:color="D99695" w:themeColor="accent2" w:sz="12" w:space="0"/>
        </w:tcBorders>
      </w:tcPr>
    </w:tblStylePr>
    <w:tblStylePr w:type="firstCol">
      <w:rPr>
        <w:sz w:val="22"/>
      </w:rPr>
      <w:tblPr/>
    </w:tblStylePr>
    <w:tblStylePr w:type="lastCol">
      <w:rPr>
        <w:sz w:val="22"/>
      </w:rPr>
      <w:tblPr/>
      <w:tcPr>
        <w:tcBorders>
          <w:left w:val="single" w:color="D99695" w:themeColor="accent2" w:sz="12" w:space="0"/>
        </w:tcBorders>
      </w:tcPr>
    </w:tblStylePr>
    <w:tblStylePr w:type="band1Horz">
      <w:rPr>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sz w:val="22"/>
      </w:rPr>
      <w:tblPr/>
      <w:tcPr>
        <w:tcBorders>
          <w:bottom w:val="single" w:color="C3D69B" w:themeColor="accent3" w:sz="12" w:space="0"/>
        </w:tcBorders>
      </w:tcPr>
    </w:tblStylePr>
    <w:tblStylePr w:type="lastRow">
      <w:rPr>
        <w:sz w:val="22"/>
      </w:rPr>
      <w:tblPr/>
      <w:tcPr>
        <w:tcBorders>
          <w:top w:val="single" w:color="C3D69B" w:themeColor="accent3" w:sz="12" w:space="0"/>
        </w:tcBorders>
      </w:tcPr>
    </w:tblStylePr>
    <w:tblStylePr w:type="firstCol">
      <w:rPr>
        <w:sz w:val="22"/>
      </w:rPr>
      <w:tblPr/>
    </w:tblStylePr>
    <w:tblStylePr w:type="lastCol">
      <w:rPr>
        <w:sz w:val="22"/>
      </w:rPr>
      <w:tblPr/>
      <w:tcPr>
        <w:tcBorders>
          <w:left w:val="single" w:color="C3D69B" w:themeColor="accent3" w:sz="12" w:space="0"/>
        </w:tcBorders>
      </w:tcPr>
    </w:tblStylePr>
    <w:tblStylePr w:type="band1Horz">
      <w:rPr>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sz w:val="22"/>
      </w:rPr>
      <w:tblPr/>
      <w:tcPr>
        <w:tcBorders>
          <w:bottom w:val="single" w:color="B2A1C6" w:themeColor="accent4" w:sz="12" w:space="0"/>
        </w:tcBorders>
      </w:tcPr>
    </w:tblStylePr>
    <w:tblStylePr w:type="lastRow">
      <w:rPr>
        <w:sz w:val="22"/>
      </w:rPr>
      <w:tblPr/>
      <w:tcPr>
        <w:tcBorders>
          <w:top w:val="single" w:color="B2A1C6" w:themeColor="accent4" w:sz="12" w:space="0"/>
        </w:tcBorders>
      </w:tcPr>
    </w:tblStylePr>
    <w:tblStylePr w:type="firstCol">
      <w:rPr>
        <w:sz w:val="22"/>
      </w:rPr>
      <w:tblPr/>
    </w:tblStylePr>
    <w:tblStylePr w:type="lastCol">
      <w:rPr>
        <w:sz w:val="22"/>
      </w:rPr>
      <w:tblPr/>
      <w:tcPr>
        <w:tcBorders>
          <w:left w:val="single" w:color="B2A1C6" w:themeColor="accent4" w:sz="12" w:space="0"/>
        </w:tcBorders>
      </w:tcPr>
    </w:tblStylePr>
    <w:tblStylePr w:type="band1Horz">
      <w:rPr>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sz w:val="22"/>
      </w:rPr>
      <w:tblPr/>
      <w:tcPr>
        <w:tcBorders>
          <w:bottom w:val="single" w:color="92CCDC" w:themeColor="accent5" w:sz="12" w:space="0"/>
        </w:tcBorders>
      </w:tcPr>
    </w:tblStylePr>
    <w:tblStylePr w:type="lastRow">
      <w:rPr>
        <w:sz w:val="22"/>
      </w:rPr>
      <w:tblPr/>
      <w:tcPr>
        <w:tcBorders>
          <w:top w:val="single" w:color="92CCDC" w:themeColor="accent5" w:sz="12" w:space="0"/>
        </w:tcBorders>
      </w:tcPr>
    </w:tblStylePr>
    <w:tblStylePr w:type="firstCol">
      <w:rPr>
        <w:sz w:val="22"/>
      </w:rPr>
      <w:tblPr/>
    </w:tblStylePr>
    <w:tblStylePr w:type="lastCol">
      <w:rPr>
        <w:sz w:val="22"/>
      </w:rPr>
      <w:tblPr/>
      <w:tcPr>
        <w:tcBorders>
          <w:left w:val="single" w:color="92CCDC" w:themeColor="accent5" w:sz="12" w:space="0"/>
        </w:tcBorders>
      </w:tcPr>
    </w:tblStylePr>
    <w:tblStylePr w:type="band1Horz">
      <w:rPr>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sz w:val="22"/>
      </w:rPr>
      <w:tblPr/>
      <w:tcPr>
        <w:tcBorders>
          <w:bottom w:val="single" w:color="FAC090" w:themeColor="accent6" w:sz="12" w:space="0"/>
        </w:tcBorders>
      </w:tcPr>
    </w:tblStylePr>
    <w:tblStylePr w:type="lastRow">
      <w:rPr>
        <w:sz w:val="22"/>
      </w:rPr>
      <w:tblPr/>
      <w:tcPr>
        <w:tcBorders>
          <w:top w:val="single" w:color="FAC090" w:themeColor="accent6" w:sz="12" w:space="0"/>
        </w:tcBorders>
      </w:tcPr>
    </w:tblStylePr>
    <w:tblStylePr w:type="firstCol">
      <w:rPr>
        <w:sz w:val="22"/>
      </w:rPr>
      <w:tblPr/>
    </w:tblStylePr>
    <w:tblStylePr w:type="lastCol">
      <w:rPr>
        <w:sz w:val="22"/>
      </w:rPr>
      <w:tblPr/>
      <w:tcPr>
        <w:tcBorders>
          <w:left w:val="single" w:color="FAC090" w:themeColor="accent6" w:sz="12" w:space="0"/>
        </w:tcBorders>
      </w:tcPr>
    </w:tblStylePr>
    <w:tblStylePr w:type="band1Horz">
      <w:rPr>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pitchFamily="0" charset="1"/>
        <a:ea typeface="Arial" pitchFamily="0" charset="1"/>
        <a:cs typeface="Arial" pitchFamily="0" charset="1"/>
      </a:majorFont>
      <a:minorFont>
        <a:latin typeface="Arial" pitchFamily="0" charset="1"/>
        <a:ea typeface="Arial" pitchFamily="0" charset="1"/>
        <a:cs typeface="Arial" pitchFamily="0" charset="1"/>
      </a:minorFont>
    </a:fontScheme>
    <a:fmtScheme>
      <a:fillStyleLst>
        <a:solidFill>
          <a:schemeClr val="phClr"/>
        </a:solidFill>
        <a:solidFill/>
        <a:solidFill/>
      </a:fillStyleLst>
      <a:lnStyleLst>
        <a:ln w="9525"/>
        <a:ln w="25400"/>
        <a:ln w="38100"/>
      </a:lnStyleLst>
      <a:effectStyleLst>
        <a:effectStyle>
          <a:effectLst/>
        </a:effectStyle>
        <a:effectStyle>
          <a:effectLst/>
        </a:effectStyle>
        <a:effectStyle>
          <a:effectLst/>
        </a:effectStyle>
      </a:effectStyleLst>
      <a:bgFillStyleLst>
        <a:solidFill>
          <a:schemeClr val="phClr"/>
        </a:solidFill>
        <a:solidFill>
          <a:srgbClr val="000000"/>
        </a:solidFill>
        <a:solidFill>
          <a:srgbClr val="000000"/>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30</TotalTime>
  <Application>EasyOffice/7.6.2.1.0$Windows_X86_64 LibreOffice_project/0bc4d647150f05f02b71ccb5539a4012b57f1faf</Application>
  <AppVersion>15.0000</AppVersion>
  <Pages>13</Pages>
  <Words>1860</Words>
  <Characters>14163</Characters>
  <CharactersWithSpaces>15818</CharactersWithSpaces>
  <Paragraphs>490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2024-02-29T10:27:00Z</dcterms:created>
  <dc:creator>Admin</dc:creator>
  <dc:description/>
  <dc:language>en-US</dc:language>
  <cp:lastModifiedBy/>
  <cp:lastPrinted>2024-03-01T10:49:00Z</cp:lastPrinted>
  <dcterms:modified xsi:type="dcterms:W3CDTF">2024-04-10T14:57:02Z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